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5</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6"/>
        <w:tblW w:w="849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8"/>
        <w:gridCol w:w="2153"/>
        <w:gridCol w:w="1048"/>
        <w:gridCol w:w="1076"/>
        <w:gridCol w:w="1218"/>
        <w:gridCol w:w="1161"/>
        <w:gridCol w:w="1161"/>
      </w:tblGrid>
      <w:tr w14:paraId="0A207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3" w:hRule="atLeast"/>
        </w:trPr>
        <w:tc>
          <w:tcPr>
            <w:tcW w:w="678" w:type="dxa"/>
            <w:tcBorders>
              <w:top w:val="single" w:color="000000" w:sz="4" w:space="0"/>
              <w:left w:val="single" w:color="000000" w:sz="4" w:space="0"/>
              <w:bottom w:val="single" w:color="auto" w:sz="4" w:space="0"/>
              <w:right w:val="single" w:color="000000" w:sz="4" w:space="0"/>
            </w:tcBorders>
            <w:noWrap w:val="0"/>
            <w:vAlign w:val="center"/>
          </w:tcPr>
          <w:p w14:paraId="3BCB85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153" w:type="dxa"/>
            <w:tcBorders>
              <w:top w:val="single" w:color="000000" w:sz="4" w:space="0"/>
              <w:left w:val="single" w:color="000000" w:sz="4" w:space="0"/>
              <w:bottom w:val="single" w:color="auto" w:sz="4" w:space="0"/>
              <w:right w:val="single" w:color="000000" w:sz="4" w:space="0"/>
            </w:tcBorders>
            <w:noWrap w:val="0"/>
            <w:vAlign w:val="center"/>
          </w:tcPr>
          <w:p w14:paraId="68031D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标的名称</w:t>
            </w:r>
          </w:p>
        </w:tc>
        <w:tc>
          <w:tcPr>
            <w:tcW w:w="1048" w:type="dxa"/>
            <w:tcBorders>
              <w:top w:val="single" w:color="000000" w:sz="4" w:space="0"/>
              <w:left w:val="single" w:color="000000" w:sz="4" w:space="0"/>
              <w:bottom w:val="single" w:color="auto" w:sz="4" w:space="0"/>
              <w:right w:val="single" w:color="000000" w:sz="4" w:space="0"/>
            </w:tcBorders>
            <w:noWrap w:val="0"/>
            <w:vAlign w:val="center"/>
          </w:tcPr>
          <w:p w14:paraId="2D7D83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规划用途</w:t>
            </w:r>
          </w:p>
        </w:tc>
        <w:tc>
          <w:tcPr>
            <w:tcW w:w="1076" w:type="dxa"/>
            <w:tcBorders>
              <w:top w:val="single" w:color="000000" w:sz="4" w:space="0"/>
              <w:left w:val="single" w:color="000000" w:sz="4" w:space="0"/>
              <w:bottom w:val="single" w:color="auto" w:sz="4" w:space="0"/>
              <w:right w:val="single" w:color="000000" w:sz="4" w:space="0"/>
            </w:tcBorders>
            <w:noWrap w:val="0"/>
            <w:vAlign w:val="center"/>
          </w:tcPr>
          <w:p w14:paraId="0E5BFB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出租</w:t>
            </w:r>
            <w:r>
              <w:rPr>
                <w:rFonts w:hint="eastAsia" w:ascii="宋体" w:hAnsi="宋体" w:eastAsia="宋体" w:cs="宋体"/>
                <w:i w:val="0"/>
                <w:iCs w:val="0"/>
                <w:color w:val="000000"/>
                <w:kern w:val="0"/>
                <w:sz w:val="22"/>
                <w:szCs w:val="22"/>
                <w:u w:val="none"/>
                <w:lang w:val="en-US" w:eastAsia="zh-CN" w:bidi="ar"/>
              </w:rPr>
              <w:t>建筑面积（平方米）</w:t>
            </w:r>
          </w:p>
        </w:tc>
        <w:tc>
          <w:tcPr>
            <w:tcW w:w="1218" w:type="dxa"/>
            <w:tcBorders>
              <w:top w:val="single" w:color="000000" w:sz="4" w:space="0"/>
              <w:left w:val="single" w:color="000000" w:sz="4" w:space="0"/>
              <w:bottom w:val="single" w:color="auto" w:sz="4" w:space="0"/>
              <w:right w:val="single" w:color="000000" w:sz="4" w:space="0"/>
            </w:tcBorders>
            <w:noWrap w:val="0"/>
            <w:vAlign w:val="center"/>
          </w:tcPr>
          <w:p w14:paraId="27B9848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首年租金起始价（元/年）</w:t>
            </w:r>
          </w:p>
        </w:tc>
        <w:tc>
          <w:tcPr>
            <w:tcW w:w="1161" w:type="dxa"/>
            <w:tcBorders>
              <w:top w:val="single" w:color="000000" w:sz="4" w:space="0"/>
              <w:left w:val="single" w:color="000000" w:sz="4" w:space="0"/>
              <w:bottom w:val="single" w:color="auto" w:sz="4" w:space="0"/>
              <w:right w:val="single" w:color="000000" w:sz="4" w:space="0"/>
            </w:tcBorders>
            <w:noWrap w:val="0"/>
            <w:vAlign w:val="center"/>
          </w:tcPr>
          <w:p w14:paraId="609841F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w:t>
            </w:r>
          </w:p>
          <w:p w14:paraId="56596B0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（元）</w:t>
            </w:r>
          </w:p>
        </w:tc>
        <w:tc>
          <w:tcPr>
            <w:tcW w:w="1161" w:type="dxa"/>
            <w:tcBorders>
              <w:top w:val="single" w:color="000000" w:sz="4" w:space="0"/>
              <w:left w:val="single" w:color="000000" w:sz="4" w:space="0"/>
              <w:bottom w:val="single" w:color="auto" w:sz="4" w:space="0"/>
              <w:right w:val="single" w:color="000000" w:sz="4" w:space="0"/>
            </w:tcBorders>
            <w:noWrap w:val="0"/>
            <w:vAlign w:val="center"/>
          </w:tcPr>
          <w:p w14:paraId="34CBCC34">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租期</w:t>
            </w:r>
          </w:p>
          <w:p w14:paraId="71503459">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（年）</w:t>
            </w:r>
          </w:p>
        </w:tc>
      </w:tr>
      <w:tr w14:paraId="5B288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left w:val="single" w:color="auto" w:sz="4" w:space="0"/>
              <w:bottom w:val="single" w:color="auto" w:sz="4" w:space="0"/>
              <w:right w:val="single" w:color="000000" w:sz="4" w:space="0"/>
            </w:tcBorders>
            <w:noWrap/>
            <w:vAlign w:val="center"/>
          </w:tcPr>
          <w:p w14:paraId="7671883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5B13A6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镇海区澥浦镇十七房路</w:t>
            </w:r>
            <w:r>
              <w:rPr>
                <w:rStyle w:val="12"/>
                <w:rFonts w:eastAsia="宋体"/>
                <w:lang w:val="en-US" w:eastAsia="zh-CN" w:bidi="ar"/>
              </w:rPr>
              <w:t>115</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03853B4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left w:val="single" w:color="000000" w:sz="4" w:space="0"/>
              <w:bottom w:val="single" w:color="auto" w:sz="4" w:space="0"/>
              <w:right w:val="single" w:color="000000" w:sz="4" w:space="0"/>
            </w:tcBorders>
            <w:noWrap w:val="0"/>
            <w:vAlign w:val="center"/>
          </w:tcPr>
          <w:p w14:paraId="589B123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243.74 </w:t>
            </w:r>
          </w:p>
        </w:tc>
        <w:tc>
          <w:tcPr>
            <w:tcW w:w="1218" w:type="dxa"/>
            <w:tcBorders>
              <w:left w:val="single" w:color="000000" w:sz="4" w:space="0"/>
              <w:bottom w:val="single" w:color="auto" w:sz="4" w:space="0"/>
              <w:right w:val="single" w:color="auto" w:sz="4" w:space="0"/>
            </w:tcBorders>
            <w:noWrap w:val="0"/>
            <w:vAlign w:val="center"/>
          </w:tcPr>
          <w:p w14:paraId="299D0A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73800 </w:t>
            </w:r>
          </w:p>
        </w:tc>
        <w:tc>
          <w:tcPr>
            <w:tcW w:w="1161" w:type="dxa"/>
            <w:tcBorders>
              <w:left w:val="single" w:color="000000" w:sz="4" w:space="0"/>
              <w:bottom w:val="single" w:color="auto" w:sz="4" w:space="0"/>
              <w:right w:val="single" w:color="auto" w:sz="4" w:space="0"/>
            </w:tcBorders>
            <w:noWrap w:val="0"/>
            <w:vAlign w:val="center"/>
          </w:tcPr>
          <w:p w14:paraId="16D7070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10000</w:t>
            </w:r>
          </w:p>
        </w:tc>
        <w:tc>
          <w:tcPr>
            <w:tcW w:w="1161" w:type="dxa"/>
            <w:tcBorders>
              <w:left w:val="single" w:color="000000" w:sz="4" w:space="0"/>
              <w:bottom w:val="single" w:color="auto" w:sz="4" w:space="0"/>
              <w:right w:val="single" w:color="auto" w:sz="4" w:space="0"/>
            </w:tcBorders>
            <w:noWrap w:val="0"/>
            <w:vAlign w:val="center"/>
          </w:tcPr>
          <w:p w14:paraId="4B87DE4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069D9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3B98FF6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3D2933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镇海区澥浦镇十七房路</w:t>
            </w:r>
            <w:r>
              <w:rPr>
                <w:rStyle w:val="12"/>
                <w:rFonts w:eastAsia="宋体"/>
                <w:lang w:val="en-US" w:eastAsia="zh-CN" w:bidi="ar"/>
              </w:rPr>
              <w:t>123</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086645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121D332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98.78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2DD64DF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29200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04399B3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5A1667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676A6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795E043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7248EA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镇海区澥浦镇十七房路</w:t>
            </w:r>
            <w:r>
              <w:rPr>
                <w:rStyle w:val="12"/>
                <w:rFonts w:eastAsia="宋体"/>
                <w:lang w:val="en-US" w:eastAsia="zh-CN" w:bidi="ar"/>
              </w:rPr>
              <w:t>173</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74E545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2E35E08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98.78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2BEBB9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30600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44B976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4A98E1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02B1F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4C4DBD5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38555D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镇海区澥浦镇十七房路</w:t>
            </w:r>
            <w:r>
              <w:rPr>
                <w:rStyle w:val="12"/>
                <w:rFonts w:eastAsia="宋体"/>
                <w:lang w:val="en-US" w:eastAsia="zh-CN" w:bidi="ar"/>
              </w:rPr>
              <w:t>175</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2EFEAF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1B6FB8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98.78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0940C5E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29900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69D993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1BE61E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4016E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12FF663B">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20E9D9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镇海区澥浦镇十七房路</w:t>
            </w:r>
            <w:r>
              <w:rPr>
                <w:rStyle w:val="12"/>
                <w:rFonts w:eastAsia="宋体"/>
                <w:lang w:val="en-US" w:eastAsia="zh-CN" w:bidi="ar"/>
              </w:rPr>
              <w:t>203</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745DD8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0AF4FE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97.41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14903AC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29500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087E4F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1B5BD7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66969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05F263E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54E39D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镇海区澥浦镇十七房路</w:t>
            </w:r>
            <w:r>
              <w:rPr>
                <w:rStyle w:val="12"/>
                <w:rFonts w:eastAsia="宋体"/>
                <w:lang w:val="en-US" w:eastAsia="zh-CN" w:bidi="ar"/>
              </w:rPr>
              <w:t>205</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55DE57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1B45DCE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102.87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2A2F9B7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31200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1E1549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4DEE8C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4D009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13E5F3C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1F00A6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镇海区澥浦镇十七房路</w:t>
            </w:r>
            <w:r>
              <w:rPr>
                <w:rStyle w:val="12"/>
                <w:rFonts w:eastAsia="宋体"/>
                <w:lang w:val="en-US" w:eastAsia="zh-CN" w:bidi="ar"/>
              </w:rPr>
              <w:t>207</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6CE26E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365CAEF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94.28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3E8DB99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31300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3B9487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29F923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00F33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190E492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6F455B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621</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34804C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642238A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88.46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6779779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28100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12E49E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60CFBA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33F27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2AE1939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5E6D0F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625</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7C60C5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47F8092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45.79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03A120D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15000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7FA4A27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62D0F6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06580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5013C4C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353EE8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635</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150578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6AFB599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104.67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49D66C2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23300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51726D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57C9C2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13297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4914DDC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2B2C13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637</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5799BA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42D9430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62.41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07F5CC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20500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4AFBFE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46452D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773C6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35E3214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34C994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647</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4DD523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319FD1A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79.49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21940BF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17700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4D842A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26AF46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2C264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7B03E19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76E21A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653</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55F78C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0DFD770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87.73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04E5ED3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19900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60CF55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216178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36302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5B068BD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14</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44329D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659</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593001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066CC98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32.74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1AFB5AB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11200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51584F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459E82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43577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8"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1B5629A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15</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115796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673</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39CDC4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65D310A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33.62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65371CF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11200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1F802F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2DEDCF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4F757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18733C0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16</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6A27E1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675</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43FD91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348951C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64.80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41115A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15100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1D6A7D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4FDF7E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1E585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365390C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17</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2A15A1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677</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5D1BA9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5520A6A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82.04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1501AC1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19200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531271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1E4663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3114E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54DD8D0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18</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431FD6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679</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53254A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20D633C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73.84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6309D5F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17200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5C38DD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569D60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55892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tcBorders>
              <w:top w:val="single" w:color="auto" w:sz="4" w:space="0"/>
              <w:left w:val="single" w:color="auto" w:sz="4" w:space="0"/>
              <w:bottom w:val="single" w:color="auto" w:sz="4" w:space="0"/>
              <w:right w:val="single" w:color="000000" w:sz="4" w:space="0"/>
            </w:tcBorders>
            <w:noWrap/>
            <w:vAlign w:val="center"/>
          </w:tcPr>
          <w:p w14:paraId="4E16FF1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19</w:t>
            </w: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79A182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717</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434ABD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2DB5C02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112.84 </w:t>
            </w:r>
          </w:p>
        </w:tc>
        <w:tc>
          <w:tcPr>
            <w:tcW w:w="1218" w:type="dxa"/>
            <w:tcBorders>
              <w:top w:val="single" w:color="auto" w:sz="4" w:space="0"/>
              <w:left w:val="single" w:color="000000" w:sz="4" w:space="0"/>
              <w:bottom w:val="single" w:color="auto" w:sz="4" w:space="0"/>
              <w:right w:val="single" w:color="auto" w:sz="4" w:space="0"/>
            </w:tcBorders>
            <w:noWrap w:val="0"/>
            <w:vAlign w:val="center"/>
          </w:tcPr>
          <w:p w14:paraId="574251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36700 </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5F73896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1161" w:type="dxa"/>
            <w:tcBorders>
              <w:top w:val="single" w:color="auto" w:sz="4" w:space="0"/>
              <w:left w:val="single" w:color="000000" w:sz="4" w:space="0"/>
              <w:bottom w:val="single" w:color="auto" w:sz="4" w:space="0"/>
              <w:right w:val="single" w:color="auto" w:sz="4" w:space="0"/>
            </w:tcBorders>
            <w:noWrap w:val="0"/>
            <w:vAlign w:val="center"/>
          </w:tcPr>
          <w:p w14:paraId="19D2C0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4CDD5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vMerge w:val="restart"/>
            <w:tcBorders>
              <w:top w:val="single" w:color="auto" w:sz="4" w:space="0"/>
              <w:left w:val="single" w:color="auto" w:sz="4" w:space="0"/>
              <w:right w:val="single" w:color="000000" w:sz="4" w:space="0"/>
            </w:tcBorders>
            <w:noWrap/>
            <w:vAlign w:val="center"/>
          </w:tcPr>
          <w:p w14:paraId="23DF907F">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w:t>
            </w:r>
          </w:p>
          <w:p w14:paraId="558668E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63C147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721</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2D5105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0DF5C8E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62.95 </w:t>
            </w:r>
          </w:p>
        </w:tc>
        <w:tc>
          <w:tcPr>
            <w:tcW w:w="1218" w:type="dxa"/>
            <w:vMerge w:val="restart"/>
            <w:tcBorders>
              <w:top w:val="single" w:color="auto" w:sz="4" w:space="0"/>
              <w:left w:val="single" w:color="000000" w:sz="4" w:space="0"/>
              <w:right w:val="single" w:color="auto" w:sz="4" w:space="0"/>
            </w:tcBorders>
            <w:noWrap w:val="0"/>
            <w:vAlign w:val="center"/>
          </w:tcPr>
          <w:p w14:paraId="55C0D13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w:t>
            </w:r>
            <w:r>
              <w:rPr>
                <w:rFonts w:hint="eastAsia" w:ascii="Times New Roman" w:hAnsi="Times New Roman" w:cs="Times New Roman"/>
                <w:i w:val="0"/>
                <w:iCs w:val="0"/>
                <w:color w:val="000000"/>
                <w:kern w:val="0"/>
                <w:sz w:val="22"/>
                <w:szCs w:val="22"/>
                <w:u w:val="none"/>
                <w:lang w:val="en-US" w:eastAsia="zh-CN" w:bidi="ar"/>
              </w:rPr>
              <w:t>130700</w:t>
            </w: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1161" w:type="dxa"/>
            <w:vMerge w:val="restart"/>
            <w:tcBorders>
              <w:top w:val="single" w:color="auto" w:sz="4" w:space="0"/>
              <w:left w:val="single" w:color="000000" w:sz="4" w:space="0"/>
              <w:right w:val="single" w:color="auto" w:sz="4" w:space="0"/>
            </w:tcBorders>
            <w:noWrap w:val="0"/>
            <w:vAlign w:val="center"/>
          </w:tcPr>
          <w:p w14:paraId="0009F06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20000</w:t>
            </w:r>
          </w:p>
        </w:tc>
        <w:tc>
          <w:tcPr>
            <w:tcW w:w="1161" w:type="dxa"/>
            <w:vMerge w:val="restart"/>
            <w:tcBorders>
              <w:top w:val="single" w:color="auto" w:sz="4" w:space="0"/>
              <w:left w:val="single" w:color="000000" w:sz="4" w:space="0"/>
              <w:right w:val="single" w:color="auto" w:sz="4" w:space="0"/>
            </w:tcBorders>
            <w:noWrap w:val="0"/>
            <w:vAlign w:val="center"/>
          </w:tcPr>
          <w:p w14:paraId="32059A77">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p w14:paraId="1F9E58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6568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vMerge w:val="continue"/>
            <w:tcBorders>
              <w:left w:val="single" w:color="auto" w:sz="4" w:space="0"/>
              <w:right w:val="single" w:color="000000" w:sz="4" w:space="0"/>
            </w:tcBorders>
            <w:noWrap/>
            <w:vAlign w:val="center"/>
          </w:tcPr>
          <w:p w14:paraId="39F5606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006E2B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723</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6DC00F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03BF9CA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62.95 </w:t>
            </w:r>
          </w:p>
        </w:tc>
        <w:tc>
          <w:tcPr>
            <w:tcW w:w="1218" w:type="dxa"/>
            <w:vMerge w:val="continue"/>
            <w:tcBorders>
              <w:left w:val="single" w:color="000000" w:sz="4" w:space="0"/>
              <w:right w:val="single" w:color="auto" w:sz="4" w:space="0"/>
            </w:tcBorders>
            <w:noWrap w:val="0"/>
            <w:vAlign w:val="center"/>
          </w:tcPr>
          <w:p w14:paraId="0A3A28C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161" w:type="dxa"/>
            <w:vMerge w:val="continue"/>
            <w:tcBorders>
              <w:left w:val="single" w:color="000000" w:sz="4" w:space="0"/>
              <w:right w:val="single" w:color="auto" w:sz="4" w:space="0"/>
            </w:tcBorders>
            <w:noWrap w:val="0"/>
            <w:vAlign w:val="center"/>
          </w:tcPr>
          <w:p w14:paraId="08C252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61" w:type="dxa"/>
            <w:vMerge w:val="continue"/>
            <w:tcBorders>
              <w:left w:val="single" w:color="000000" w:sz="4" w:space="0"/>
              <w:right w:val="single" w:color="auto" w:sz="4" w:space="0"/>
            </w:tcBorders>
            <w:noWrap w:val="0"/>
            <w:vAlign w:val="center"/>
          </w:tcPr>
          <w:p w14:paraId="65A38B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D324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vMerge w:val="continue"/>
            <w:tcBorders>
              <w:left w:val="single" w:color="auto" w:sz="4" w:space="0"/>
              <w:right w:val="single" w:color="000000" w:sz="4" w:space="0"/>
            </w:tcBorders>
            <w:noWrap/>
            <w:vAlign w:val="center"/>
          </w:tcPr>
          <w:p w14:paraId="068D14D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739EC9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725</w:t>
            </w:r>
            <w:r>
              <w:rPr>
                <w:rFonts w:hint="eastAsia" w:ascii="宋体" w:hAnsi="宋体" w:eastAsia="宋体" w:cs="宋体"/>
                <w:i w:val="0"/>
                <w:iCs w:val="0"/>
                <w:color w:val="000000"/>
                <w:kern w:val="0"/>
                <w:sz w:val="20"/>
                <w:szCs w:val="20"/>
                <w:u w:val="none"/>
                <w:lang w:val="en-US" w:eastAsia="zh-CN" w:bidi="ar"/>
              </w:rPr>
              <w:t>、</w:t>
            </w:r>
            <w:r>
              <w:rPr>
                <w:rStyle w:val="12"/>
                <w:rFonts w:eastAsia="宋体"/>
                <w:lang w:val="en-US" w:eastAsia="zh-CN" w:bidi="ar"/>
              </w:rPr>
              <w:t>727</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6156A9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1744D3B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177.10 </w:t>
            </w:r>
          </w:p>
        </w:tc>
        <w:tc>
          <w:tcPr>
            <w:tcW w:w="1218" w:type="dxa"/>
            <w:vMerge w:val="continue"/>
            <w:tcBorders>
              <w:left w:val="single" w:color="000000" w:sz="4" w:space="0"/>
              <w:right w:val="single" w:color="auto" w:sz="4" w:space="0"/>
            </w:tcBorders>
            <w:noWrap w:val="0"/>
            <w:vAlign w:val="center"/>
          </w:tcPr>
          <w:p w14:paraId="54034E5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161" w:type="dxa"/>
            <w:vMerge w:val="continue"/>
            <w:tcBorders>
              <w:left w:val="single" w:color="000000" w:sz="4" w:space="0"/>
              <w:right w:val="single" w:color="auto" w:sz="4" w:space="0"/>
            </w:tcBorders>
            <w:noWrap w:val="0"/>
            <w:vAlign w:val="center"/>
          </w:tcPr>
          <w:p w14:paraId="117816E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1161" w:type="dxa"/>
            <w:vMerge w:val="continue"/>
            <w:tcBorders>
              <w:left w:val="single" w:color="000000" w:sz="4" w:space="0"/>
              <w:right w:val="single" w:color="auto" w:sz="4" w:space="0"/>
            </w:tcBorders>
            <w:noWrap w:val="0"/>
            <w:vAlign w:val="center"/>
          </w:tcPr>
          <w:p w14:paraId="19D6E9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0C66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vMerge w:val="continue"/>
            <w:tcBorders>
              <w:left w:val="single" w:color="auto" w:sz="4" w:space="0"/>
              <w:right w:val="single" w:color="000000" w:sz="4" w:space="0"/>
            </w:tcBorders>
            <w:noWrap/>
            <w:vAlign w:val="center"/>
          </w:tcPr>
          <w:p w14:paraId="2DDA978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475C68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729</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1F6F0F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50C6BA5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75.71 </w:t>
            </w:r>
          </w:p>
        </w:tc>
        <w:tc>
          <w:tcPr>
            <w:tcW w:w="1218" w:type="dxa"/>
            <w:vMerge w:val="continue"/>
            <w:tcBorders>
              <w:left w:val="single" w:color="000000" w:sz="4" w:space="0"/>
              <w:right w:val="single" w:color="auto" w:sz="4" w:space="0"/>
            </w:tcBorders>
            <w:noWrap w:val="0"/>
            <w:vAlign w:val="center"/>
          </w:tcPr>
          <w:p w14:paraId="27863DA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161" w:type="dxa"/>
            <w:vMerge w:val="continue"/>
            <w:tcBorders>
              <w:left w:val="single" w:color="000000" w:sz="4" w:space="0"/>
              <w:right w:val="single" w:color="auto" w:sz="4" w:space="0"/>
            </w:tcBorders>
            <w:noWrap w:val="0"/>
            <w:vAlign w:val="center"/>
          </w:tcPr>
          <w:p w14:paraId="735FB6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61" w:type="dxa"/>
            <w:vMerge w:val="continue"/>
            <w:tcBorders>
              <w:left w:val="single" w:color="000000" w:sz="4" w:space="0"/>
              <w:right w:val="single" w:color="auto" w:sz="4" w:space="0"/>
            </w:tcBorders>
            <w:noWrap w:val="0"/>
            <w:vAlign w:val="center"/>
          </w:tcPr>
          <w:p w14:paraId="6C6EC1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05E9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78" w:type="dxa"/>
            <w:vMerge w:val="continue"/>
            <w:tcBorders>
              <w:left w:val="single" w:color="auto" w:sz="4" w:space="0"/>
              <w:bottom w:val="single" w:color="auto" w:sz="4" w:space="0"/>
              <w:right w:val="single" w:color="000000" w:sz="4" w:space="0"/>
            </w:tcBorders>
            <w:noWrap/>
            <w:vAlign w:val="center"/>
          </w:tcPr>
          <w:p w14:paraId="692FCDE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tc>
        <w:tc>
          <w:tcPr>
            <w:tcW w:w="2153" w:type="dxa"/>
            <w:tcBorders>
              <w:top w:val="single" w:color="auto" w:sz="4" w:space="0"/>
              <w:left w:val="single" w:color="000000" w:sz="4" w:space="0"/>
              <w:bottom w:val="single" w:color="auto" w:sz="4" w:space="0"/>
              <w:right w:val="single" w:color="000000" w:sz="4" w:space="0"/>
            </w:tcBorders>
            <w:noWrap w:val="0"/>
            <w:vAlign w:val="center"/>
          </w:tcPr>
          <w:p w14:paraId="61078F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镇海区澥浦镇广源路</w:t>
            </w:r>
            <w:r>
              <w:rPr>
                <w:rStyle w:val="12"/>
                <w:rFonts w:eastAsia="宋体"/>
                <w:lang w:val="en-US" w:eastAsia="zh-CN" w:bidi="ar"/>
              </w:rPr>
              <w:t>731</w:t>
            </w:r>
            <w:r>
              <w:rPr>
                <w:rFonts w:hint="eastAsia" w:ascii="宋体" w:hAnsi="宋体" w:eastAsia="宋体" w:cs="宋体"/>
                <w:i w:val="0"/>
                <w:iCs w:val="0"/>
                <w:color w:val="000000"/>
                <w:kern w:val="0"/>
                <w:sz w:val="20"/>
                <w:szCs w:val="20"/>
                <w:u w:val="none"/>
                <w:lang w:val="en-US" w:eastAsia="zh-CN" w:bidi="ar"/>
              </w:rPr>
              <w:t>号</w:t>
            </w:r>
          </w:p>
        </w:tc>
        <w:tc>
          <w:tcPr>
            <w:tcW w:w="1048" w:type="dxa"/>
            <w:tcBorders>
              <w:top w:val="single" w:color="auto" w:sz="4" w:space="0"/>
              <w:left w:val="single" w:color="000000" w:sz="4" w:space="0"/>
              <w:bottom w:val="single" w:color="auto" w:sz="4" w:space="0"/>
              <w:right w:val="single" w:color="000000" w:sz="4" w:space="0"/>
            </w:tcBorders>
            <w:noWrap/>
            <w:vAlign w:val="center"/>
          </w:tcPr>
          <w:p w14:paraId="36B831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商业</w:t>
            </w:r>
          </w:p>
        </w:tc>
        <w:tc>
          <w:tcPr>
            <w:tcW w:w="1076" w:type="dxa"/>
            <w:tcBorders>
              <w:top w:val="single" w:color="auto" w:sz="4" w:space="0"/>
              <w:left w:val="single" w:color="000000" w:sz="4" w:space="0"/>
              <w:bottom w:val="single" w:color="auto" w:sz="4" w:space="0"/>
              <w:right w:val="single" w:color="000000" w:sz="4" w:space="0"/>
            </w:tcBorders>
            <w:noWrap w:val="0"/>
            <w:vAlign w:val="center"/>
          </w:tcPr>
          <w:p w14:paraId="6FE3C2C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74.14 </w:t>
            </w:r>
          </w:p>
        </w:tc>
        <w:tc>
          <w:tcPr>
            <w:tcW w:w="1218" w:type="dxa"/>
            <w:vMerge w:val="continue"/>
            <w:tcBorders>
              <w:left w:val="single" w:color="000000" w:sz="4" w:space="0"/>
              <w:bottom w:val="single" w:color="auto" w:sz="4" w:space="0"/>
              <w:right w:val="single" w:color="auto" w:sz="4" w:space="0"/>
            </w:tcBorders>
            <w:noWrap w:val="0"/>
            <w:vAlign w:val="center"/>
          </w:tcPr>
          <w:p w14:paraId="14F14FD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161" w:type="dxa"/>
            <w:vMerge w:val="continue"/>
            <w:tcBorders>
              <w:left w:val="single" w:color="000000" w:sz="4" w:space="0"/>
              <w:bottom w:val="single" w:color="auto" w:sz="4" w:space="0"/>
              <w:right w:val="single" w:color="auto" w:sz="4" w:space="0"/>
            </w:tcBorders>
            <w:noWrap w:val="0"/>
            <w:vAlign w:val="center"/>
          </w:tcPr>
          <w:p w14:paraId="36042C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61" w:type="dxa"/>
            <w:vMerge w:val="continue"/>
            <w:tcBorders>
              <w:left w:val="single" w:color="000000" w:sz="4" w:space="0"/>
              <w:bottom w:val="single" w:color="auto" w:sz="4" w:space="0"/>
              <w:right w:val="single" w:color="auto" w:sz="4" w:space="0"/>
            </w:tcBorders>
            <w:noWrap w:val="0"/>
            <w:vAlign w:val="center"/>
          </w:tcPr>
          <w:p w14:paraId="0B0AE8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636A9E3F">
      <w:pPr>
        <w:widowControl/>
        <w:shd w:val="clear" w:color="auto" w:fill="FFFFFF"/>
        <w:spacing w:line="560" w:lineRule="exact"/>
        <w:ind w:firstLine="480" w:firstLineChars="200"/>
        <w:jc w:val="left"/>
        <w:rPr>
          <w:rFonts w:hint="eastAsia" w:ascii="宋体" w:hAnsi="宋体" w:eastAsia="宋体" w:cs="宋体"/>
          <w:bCs/>
          <w:color w:val="auto"/>
          <w:kern w:val="2"/>
          <w:sz w:val="24"/>
          <w:szCs w:val="22"/>
          <w:lang w:val="en-US" w:eastAsia="zh-CN" w:bidi="ar-SA"/>
        </w:rPr>
      </w:pPr>
      <w:r>
        <w:rPr>
          <w:rFonts w:hint="eastAsia" w:ascii="宋体" w:hAnsi="宋体" w:eastAsia="宋体" w:cs="宋体"/>
          <w:bCs/>
          <w:color w:val="auto"/>
          <w:kern w:val="2"/>
          <w:sz w:val="24"/>
          <w:szCs w:val="22"/>
          <w:lang w:val="en-US" w:eastAsia="zh-CN" w:bidi="ar-SA"/>
        </w:rPr>
        <w:t>1、</w:t>
      </w:r>
      <w:r>
        <w:rPr>
          <w:rFonts w:hint="eastAsia" w:ascii="宋体" w:hAnsi="宋体" w:eastAsia="宋体" w:cs="Tahoma"/>
          <w:b w:val="0"/>
          <w:bCs w:val="0"/>
          <w:color w:val="000000"/>
          <w:sz w:val="24"/>
          <w:szCs w:val="24"/>
        </w:rPr>
        <w:t>信誉良好，具有完全民事行为能力的自然人、法人或其他组织。</w:t>
      </w:r>
    </w:p>
    <w:p w14:paraId="006F2F4F">
      <w:pPr>
        <w:pStyle w:val="8"/>
        <w:numPr>
          <w:ilvl w:val="0"/>
          <w:numId w:val="0"/>
        </w:numPr>
        <w:spacing w:line="440" w:lineRule="exact"/>
        <w:ind w:firstLine="480" w:firstLineChars="200"/>
        <w:rPr>
          <w:rFonts w:hint="eastAsia" w:ascii="宋体" w:hAnsi="宋体" w:eastAsia="宋体" w:cs="Tahoma"/>
          <w:b/>
          <w:bCs/>
          <w:color w:val="auto"/>
          <w:sz w:val="24"/>
          <w:szCs w:val="24"/>
          <w:lang w:eastAsia="zh-CN"/>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谢绝参加：①、在与委托人上一轮租赁期内或在其他房屋租赁中，存在违章建筑等违反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59AF60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4</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5"/>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r>
        <w:rPr>
          <w:rFonts w:hint="eastAsia" w:ascii="宋体" w:hAnsi="宋体" w:cs="宋体"/>
          <w:color w:val="auto"/>
          <w:sz w:val="24"/>
          <w:szCs w:val="24"/>
          <w:lang w:eastAsia="zh-CN"/>
        </w:rPr>
        <w:t>标的物一般以现状移交，（不含标的物内可以移动的物品）标的物移交</w:t>
      </w:r>
      <w:r>
        <w:rPr>
          <w:rFonts w:hint="eastAsia" w:ascii="宋体" w:hAnsi="宋体" w:cs="宋体"/>
          <w:color w:val="auto"/>
          <w:sz w:val="24"/>
          <w:szCs w:val="24"/>
          <w:lang w:val="en-US" w:eastAsia="zh-CN"/>
        </w:rPr>
        <w:t>中</w:t>
      </w:r>
      <w:r>
        <w:rPr>
          <w:rFonts w:hint="eastAsia" w:ascii="宋体" w:hAnsi="宋体" w:cs="宋体"/>
          <w:color w:val="auto"/>
          <w:sz w:val="24"/>
          <w:szCs w:val="24"/>
          <w:lang w:eastAsia="zh-CN"/>
        </w:rPr>
        <w:t>也可能出现原承租人拆除窗帘、空调、灯具、网线等部分设施、设备而造成部分装修及设施遭遇破坏的情况，意向竟租人应充分考虑潜在的风险，</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cs="宋体"/>
          <w:color w:val="auto"/>
          <w:sz w:val="24"/>
          <w:szCs w:val="24"/>
          <w:lang w:eastAsia="zh-CN"/>
        </w:rPr>
        <w:t>不承担本标的瑕疵担保。</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5"/>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5"/>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5"/>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b w:val="0"/>
          <w:bCs w:val="0"/>
          <w:color w:val="auto"/>
          <w:sz w:val="24"/>
          <w:szCs w:val="24"/>
          <w:lang w:val="en-US" w:eastAsia="zh-CN"/>
        </w:rPr>
        <w:t>商铺租赁合同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b w:val="0"/>
          <w:bCs w:val="0"/>
          <w:color w:val="auto"/>
          <w:sz w:val="24"/>
          <w:szCs w:val="24"/>
          <w:lang w:val="en-US" w:eastAsia="zh-CN"/>
        </w:rPr>
        <w:t>商铺租赁合同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b w:val="0"/>
          <w:bCs w:val="0"/>
          <w:color w:val="auto"/>
          <w:sz w:val="24"/>
          <w:szCs w:val="24"/>
          <w:lang w:val="en-US" w:eastAsia="zh-CN"/>
        </w:rPr>
        <w:t>商铺租赁合同</w:t>
      </w:r>
      <w:r>
        <w:rPr>
          <w:rFonts w:hint="eastAsia" w:ascii="宋体" w:hAnsi="宋体" w:eastAsia="宋体" w:cs="宋体"/>
          <w:color w:val="auto"/>
          <w:sz w:val="24"/>
          <w:szCs w:val="24"/>
        </w:rPr>
        <w:t>》为准。</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D6383CB">
      <w:pPr>
        <w:pStyle w:val="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成交之日起7个工作日内签订《</w:t>
      </w:r>
      <w:r>
        <w:rPr>
          <w:rFonts w:hint="eastAsia" w:ascii="宋体" w:hAnsi="宋体" w:cs="宋体"/>
          <w:b w:val="0"/>
          <w:bCs w:val="0"/>
          <w:color w:val="auto"/>
          <w:sz w:val="24"/>
          <w:szCs w:val="24"/>
          <w:lang w:val="en-US" w:eastAsia="zh-CN"/>
        </w:rPr>
        <w:t>商铺租赁合同</w:t>
      </w:r>
      <w:r>
        <w:rPr>
          <w:rFonts w:hint="eastAsia"/>
          <w:sz w:val="24"/>
          <w:lang w:val="en-US" w:eastAsia="zh-CN"/>
        </w:rPr>
        <w:t>》，并于《</w:t>
      </w:r>
      <w:r>
        <w:rPr>
          <w:rFonts w:hint="eastAsia" w:ascii="宋体" w:hAnsi="宋体" w:cs="宋体"/>
          <w:b w:val="0"/>
          <w:bCs w:val="0"/>
          <w:color w:val="auto"/>
          <w:sz w:val="24"/>
          <w:szCs w:val="24"/>
          <w:lang w:val="en-US" w:eastAsia="zh-CN"/>
        </w:rPr>
        <w:t>商铺租赁合同</w:t>
      </w:r>
      <w:r>
        <w:rPr>
          <w:rFonts w:hint="eastAsia"/>
          <w:sz w:val="24"/>
          <w:lang w:val="en-US" w:eastAsia="zh-CN"/>
        </w:rPr>
        <w:t>》</w:t>
      </w:r>
      <w:r>
        <w:rPr>
          <w:rFonts w:hint="eastAsia"/>
          <w:b w:val="0"/>
          <w:bCs/>
          <w:sz w:val="24"/>
          <w:lang w:val="en-US" w:eastAsia="zh-CN"/>
        </w:rPr>
        <w:t>签订之日起10日</w:t>
      </w:r>
      <w:r>
        <w:rPr>
          <w:rFonts w:hint="eastAsia"/>
          <w:sz w:val="24"/>
        </w:rPr>
        <w:t>内将</w:t>
      </w:r>
      <w:r>
        <w:rPr>
          <w:rFonts w:hint="eastAsia"/>
          <w:sz w:val="24"/>
          <w:lang w:eastAsia="zh-CN"/>
        </w:rPr>
        <w:t>首</w:t>
      </w:r>
      <w:r>
        <w:rPr>
          <w:rFonts w:hint="eastAsia"/>
          <w:sz w:val="24"/>
          <w:lang w:val="en-US" w:eastAsia="zh-CN"/>
        </w:rPr>
        <w:t>期</w:t>
      </w:r>
      <w:r>
        <w:rPr>
          <w:rFonts w:hint="eastAsia"/>
          <w:sz w:val="24"/>
          <w:lang w:eastAsia="zh-CN"/>
        </w:rPr>
        <w:t>租金</w:t>
      </w:r>
      <w:r>
        <w:rPr>
          <w:rFonts w:hint="eastAsia"/>
          <w:sz w:val="24"/>
        </w:rPr>
        <w:t>及</w:t>
      </w:r>
      <w:r>
        <w:rPr>
          <w:rFonts w:hint="eastAsia" w:ascii="宋体" w:hAnsi="宋体" w:eastAsia="宋体" w:cs="宋体"/>
          <w:color w:val="000000"/>
          <w:sz w:val="24"/>
          <w:szCs w:val="24"/>
          <w:lang w:eastAsia="zh-CN"/>
        </w:rPr>
        <w:t>履约保证金（履约保证金</w:t>
      </w:r>
      <w:r>
        <w:rPr>
          <w:rFonts w:hint="eastAsia" w:ascii="宋体" w:hAnsi="宋体" w:eastAsia="宋体" w:cs="宋体"/>
          <w:color w:val="000000"/>
          <w:sz w:val="24"/>
          <w:szCs w:val="24"/>
        </w:rPr>
        <w:t>为</w:t>
      </w:r>
      <w:r>
        <w:rPr>
          <w:rFonts w:hint="eastAsia" w:ascii="宋体" w:hAnsi="宋体" w:eastAsia="宋体" w:cs="宋体"/>
          <w:b w:val="0"/>
          <w:bCs w:val="0"/>
          <w:color w:val="auto"/>
          <w:kern w:val="0"/>
          <w:sz w:val="24"/>
          <w:szCs w:val="24"/>
          <w:u w:val="none"/>
          <w:lang w:eastAsia="zh-CN"/>
        </w:rPr>
        <w:t>三</w:t>
      </w:r>
      <w:r>
        <w:rPr>
          <w:rFonts w:hint="eastAsia" w:ascii="宋体" w:hAnsi="宋体" w:eastAsia="宋体" w:cs="宋体"/>
          <w:b w:val="0"/>
          <w:bCs w:val="0"/>
          <w:color w:val="auto"/>
          <w:kern w:val="0"/>
          <w:sz w:val="24"/>
          <w:szCs w:val="24"/>
          <w:u w:val="none"/>
        </w:rPr>
        <w:t>个月</w:t>
      </w:r>
      <w:r>
        <w:rPr>
          <w:rFonts w:hint="eastAsia" w:ascii="宋体" w:hAnsi="宋体" w:eastAsia="宋体" w:cs="宋体"/>
          <w:b w:val="0"/>
          <w:bCs w:val="0"/>
          <w:color w:val="auto"/>
          <w:kern w:val="0"/>
          <w:sz w:val="24"/>
          <w:szCs w:val="24"/>
          <w:u w:val="none"/>
          <w:lang w:eastAsia="zh-CN"/>
        </w:rPr>
        <w:t>租金</w:t>
      </w:r>
      <w:r>
        <w:rPr>
          <w:rFonts w:hint="eastAsia" w:ascii="宋体" w:hAnsi="宋体" w:eastAsia="宋体" w:cs="宋体"/>
          <w:color w:val="000000"/>
          <w:sz w:val="24"/>
          <w:szCs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eastAsia="宋体" w:cs="宋体"/>
          <w:color w:val="auto"/>
          <w:spacing w:val="-4"/>
          <w:sz w:val="24"/>
          <w:szCs w:val="24"/>
          <w:u w:val="none"/>
          <w:lang w:eastAsia="zh-CN"/>
        </w:rPr>
        <w:t>：</w:t>
      </w:r>
      <w:r>
        <w:rPr>
          <w:rFonts w:hint="eastAsia"/>
          <w:sz w:val="24"/>
          <w:lang w:val="en-US" w:eastAsia="zh-CN"/>
        </w:rPr>
        <w:t>宁波华鼎房地产有限公司 ，开户行：农行宁波镇海支行，账号：39259001040001675；</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0"/>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0"/>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b w:val="0"/>
          <w:bCs w:val="0"/>
          <w:color w:val="auto"/>
          <w:sz w:val="24"/>
          <w:szCs w:val="24"/>
          <w:lang w:val="en-US" w:eastAsia="zh-CN"/>
        </w:rPr>
        <w:t>商铺租赁合同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447600A">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5E16D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9C6A5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cs="宋体"/>
          <w:b w:val="0"/>
          <w:bCs w:val="0"/>
          <w:color w:val="auto"/>
          <w:sz w:val="24"/>
          <w:szCs w:val="24"/>
          <w:lang w:val="en-US" w:eastAsia="zh-CN"/>
        </w:rPr>
        <w:t>商铺租赁合同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34FA2CE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5ECBDF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6CD984A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7DD146F8">
      <w:pPr>
        <w:pStyle w:val="10"/>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0"/>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0"/>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5"/>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w:t>
      </w:r>
      <w:r>
        <w:rPr>
          <w:rFonts w:hint="eastAsia" w:ascii="宋体" w:hAnsi="宋体" w:cs="宋体"/>
          <w:color w:val="auto"/>
          <w:sz w:val="24"/>
          <w:szCs w:val="24"/>
          <w:lang w:val="en-US" w:eastAsia="zh-CN"/>
        </w:rPr>
        <w:t>价</w:t>
      </w:r>
      <w:r>
        <w:rPr>
          <w:rFonts w:hint="eastAsia" w:ascii="宋体" w:hAnsi="宋体" w:eastAsia="宋体" w:cs="宋体"/>
          <w:color w:val="auto"/>
          <w:sz w:val="24"/>
          <w:szCs w:val="24"/>
        </w:rPr>
        <w:t>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b w:val="0"/>
          <w:bCs w:val="0"/>
          <w:color w:val="auto"/>
          <w:sz w:val="24"/>
          <w:szCs w:val="24"/>
          <w:lang w:val="en-US" w:eastAsia="zh-CN"/>
        </w:rPr>
        <w:t>商铺租赁合同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adjustRightInd w:val="0"/>
        <w:snapToGrid w:val="0"/>
        <w:spacing w:line="560" w:lineRule="exact"/>
        <w:ind w:firstLine="482" w:firstLineChars="200"/>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《商铺租赁合同》《出租资产安全协议》</w:t>
      </w:r>
      <w:bookmarkStart w:id="0" w:name="_GoBack"/>
      <w:bookmarkEnd w:id="0"/>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59832A7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22</w:t>
      </w:r>
      <w:r>
        <w:rPr>
          <w:rFonts w:hint="eastAsia" w:ascii="宋体" w:hAnsi="宋体" w:eastAsia="宋体" w:cs="宋体"/>
          <w:color w:val="auto"/>
          <w:sz w:val="24"/>
          <w:szCs w:val="24"/>
        </w:rPr>
        <w:t>日</w:t>
      </w:r>
    </w:p>
    <w:p w14:paraId="704223BE">
      <w:pPr>
        <w:jc w:val="center"/>
        <w:rPr>
          <w:rFonts w:eastAsia="Times New Roman"/>
          <w:b/>
          <w:sz w:val="36"/>
          <w:szCs w:val="36"/>
        </w:rPr>
      </w:pPr>
      <w:r>
        <w:rPr>
          <w:rFonts w:hint="eastAsia" w:ascii="宋体" w:hAnsi="宋体"/>
          <w:b/>
          <w:sz w:val="36"/>
          <w:szCs w:val="36"/>
        </w:rPr>
        <w:t>商铺租赁合同</w:t>
      </w:r>
    </w:p>
    <w:p w14:paraId="38D6952E">
      <w:pPr>
        <w:spacing w:beforeLines="50" w:beforeAutospacing="0"/>
        <w:rPr>
          <w:rFonts w:ascii="宋体" w:hAnsi="宋体"/>
          <w:sz w:val="24"/>
          <w:szCs w:val="24"/>
        </w:rPr>
      </w:pPr>
      <w:r>
        <w:rPr>
          <w:rFonts w:hint="eastAsia" w:ascii="宋体" w:hAnsi="宋体"/>
          <w:sz w:val="24"/>
          <w:szCs w:val="24"/>
        </w:rPr>
        <w:t xml:space="preserve"> </w:t>
      </w:r>
    </w:p>
    <w:p w14:paraId="5280342F">
      <w:pPr>
        <w:spacing w:beforeLines="50" w:beforeAutospacing="0"/>
        <w:rPr>
          <w:rFonts w:hint="eastAsia" w:ascii="宋体" w:hAnsi="宋体"/>
          <w:sz w:val="24"/>
          <w:szCs w:val="24"/>
        </w:rPr>
      </w:pPr>
      <w:r>
        <w:rPr>
          <w:rFonts w:hint="eastAsia" w:ascii="宋体" w:hAnsi="宋体"/>
          <w:sz w:val="24"/>
          <w:szCs w:val="24"/>
        </w:rPr>
        <w:t>出租方：宁波华鼎房地产有限公司</w:t>
      </w:r>
      <w:r>
        <w:rPr>
          <w:sz w:val="24"/>
          <w:szCs w:val="24"/>
        </w:rPr>
        <w:t xml:space="preserve">            </w:t>
      </w:r>
      <w:r>
        <w:rPr>
          <w:rFonts w:ascii="等线" w:hAnsi="等线"/>
          <w:sz w:val="24"/>
          <w:szCs w:val="24"/>
        </w:rPr>
        <w:t xml:space="preserve">   </w:t>
      </w:r>
      <w:r>
        <w:rPr>
          <w:rFonts w:hint="eastAsia" w:ascii="宋体" w:hAnsi="宋体"/>
          <w:sz w:val="24"/>
          <w:szCs w:val="24"/>
        </w:rPr>
        <w:t>（以下简称甲方）</w:t>
      </w:r>
    </w:p>
    <w:p w14:paraId="66B05C02">
      <w:pPr>
        <w:rPr>
          <w:rFonts w:hint="eastAsia" w:ascii="宋体" w:hAnsi="宋体"/>
          <w:sz w:val="24"/>
          <w:szCs w:val="24"/>
        </w:rPr>
      </w:pPr>
      <w:r>
        <w:rPr>
          <w:rFonts w:hint="eastAsia" w:ascii="宋体" w:hAnsi="宋体"/>
          <w:sz w:val="24"/>
          <w:szCs w:val="24"/>
        </w:rPr>
        <w:t>承租方：                                     （以下简称乙方）</w:t>
      </w:r>
    </w:p>
    <w:p w14:paraId="6E658910">
      <w:pPr>
        <w:rPr>
          <w:rFonts w:hint="eastAsia" w:ascii="宋体" w:hAnsi="宋体"/>
          <w:color w:val="FF0000"/>
          <w:sz w:val="24"/>
          <w:szCs w:val="24"/>
        </w:rPr>
      </w:pPr>
      <w:r>
        <w:rPr>
          <w:rFonts w:hint="eastAsia" w:ascii="宋体" w:hAnsi="宋体"/>
          <w:color w:val="FF0000"/>
          <w:sz w:val="24"/>
          <w:szCs w:val="24"/>
        </w:rPr>
        <w:t xml:space="preserve"> </w:t>
      </w:r>
    </w:p>
    <w:p w14:paraId="7679ABD0">
      <w:pPr>
        <w:spacing w:after="0"/>
        <w:ind w:firstLine="480" w:firstLineChars="200"/>
        <w:rPr>
          <w:rFonts w:hint="eastAsia" w:eastAsia="Times New Roman"/>
          <w:sz w:val="24"/>
          <w:szCs w:val="24"/>
        </w:rPr>
      </w:pPr>
      <w:r>
        <w:rPr>
          <w:rFonts w:hint="eastAsia" w:ascii="宋体" w:hAnsi="宋体"/>
          <w:sz w:val="24"/>
          <w:szCs w:val="24"/>
        </w:rPr>
        <w:t>根据《中华人民共和国民法典》等相关法律法规规定，为保障甲、乙双方合法权益，经协商一致，就位于</w:t>
      </w:r>
      <w:r>
        <w:rPr>
          <w:rFonts w:hint="eastAsia" w:ascii="宋体" w:hAnsi="宋体"/>
          <w:color w:val="000000"/>
          <w:sz w:val="24"/>
          <w:szCs w:val="24"/>
          <w:u w:val="single"/>
        </w:rPr>
        <w:t xml:space="preserve">               </w:t>
      </w:r>
      <w:r>
        <w:rPr>
          <w:rFonts w:hint="eastAsia" w:ascii="宋体" w:hAnsi="宋体"/>
          <w:sz w:val="24"/>
          <w:szCs w:val="24"/>
        </w:rPr>
        <w:t>商铺的租赁事宜达成如下协议：</w:t>
      </w:r>
    </w:p>
    <w:p w14:paraId="269A8E10">
      <w:pPr>
        <w:spacing w:after="0"/>
        <w:ind w:firstLine="480" w:firstLineChars="200"/>
        <w:rPr>
          <w:rFonts w:eastAsia="Times New Roman"/>
          <w:sz w:val="24"/>
          <w:szCs w:val="24"/>
        </w:rPr>
      </w:pPr>
      <w:r>
        <w:rPr>
          <w:rFonts w:eastAsia="Times New Roman"/>
          <w:sz w:val="24"/>
          <w:szCs w:val="24"/>
        </w:rPr>
        <w:t xml:space="preserve"> </w:t>
      </w:r>
    </w:p>
    <w:p w14:paraId="7EB51F9F">
      <w:pPr>
        <w:rPr>
          <w:rFonts w:ascii="宋体" w:hAnsi="宋体"/>
          <w:b/>
          <w:sz w:val="24"/>
          <w:szCs w:val="24"/>
        </w:rPr>
      </w:pPr>
      <w:r>
        <w:rPr>
          <w:rFonts w:hint="eastAsia" w:ascii="宋体" w:hAnsi="宋体"/>
          <w:b/>
          <w:sz w:val="24"/>
          <w:szCs w:val="24"/>
        </w:rPr>
        <w:t>一、租赁标的物</w:t>
      </w:r>
    </w:p>
    <w:p w14:paraId="46415566">
      <w:pPr>
        <w:ind w:firstLine="480"/>
        <w:rPr>
          <w:rFonts w:hint="eastAsia" w:ascii="宋体" w:hAnsi="宋体"/>
          <w:sz w:val="24"/>
          <w:szCs w:val="24"/>
        </w:rPr>
      </w:pPr>
      <w:r>
        <w:rPr>
          <w:rFonts w:hint="eastAsia" w:ascii="宋体" w:hAnsi="宋体"/>
          <w:sz w:val="24"/>
          <w:szCs w:val="24"/>
        </w:rPr>
        <w:t>1、甲方将位于</w:t>
      </w:r>
      <w:r>
        <w:rPr>
          <w:rFonts w:hint="eastAsia" w:ascii="宋体" w:hAnsi="宋体"/>
          <w:sz w:val="24"/>
          <w:szCs w:val="24"/>
          <w:u w:val="single"/>
        </w:rPr>
        <w:t xml:space="preserve">                           </w:t>
      </w:r>
      <w:r>
        <w:rPr>
          <w:kern w:val="0"/>
          <w:sz w:val="28"/>
          <w:szCs w:val="28"/>
          <w:u w:val="single"/>
        </w:rPr>
        <w:t xml:space="preserve"> </w:t>
      </w:r>
      <w:r>
        <w:rPr>
          <w:rFonts w:hint="eastAsia" w:ascii="宋体" w:hAnsi="宋体"/>
          <w:sz w:val="24"/>
          <w:szCs w:val="24"/>
        </w:rPr>
        <w:t>房产出租给乙方，出租面积共计</w:t>
      </w:r>
      <w:r>
        <w:rPr>
          <w:rFonts w:hint="eastAsia" w:ascii="宋体" w:hAnsi="宋体"/>
          <w:sz w:val="24"/>
          <w:szCs w:val="24"/>
          <w:u w:val="single"/>
        </w:rPr>
        <w:t xml:space="preserve">         </w:t>
      </w:r>
      <w:r>
        <w:rPr>
          <w:rFonts w:hint="eastAsia" w:ascii="宋体" w:hAnsi="宋体"/>
          <w:sz w:val="24"/>
          <w:szCs w:val="24"/>
        </w:rPr>
        <w:t>平方米。出租房屋的附属设施、设备供乙方使用（附属设施、设备详见附件），合同期满或合同提前解除后由乙方连同租赁房屋一并归还。</w:t>
      </w:r>
    </w:p>
    <w:p w14:paraId="0B5F6330">
      <w:pPr>
        <w:numPr>
          <w:ilvl w:val="0"/>
          <w:numId w:val="1"/>
        </w:numPr>
        <w:ind w:firstLine="480"/>
        <w:rPr>
          <w:rFonts w:hint="eastAsia" w:ascii="宋体" w:hAnsi="宋体"/>
          <w:sz w:val="24"/>
          <w:szCs w:val="24"/>
        </w:rPr>
      </w:pPr>
      <w:r>
        <w:rPr>
          <w:rFonts w:hint="eastAsia" w:ascii="宋体" w:hAnsi="宋体"/>
          <w:sz w:val="24"/>
          <w:szCs w:val="24"/>
        </w:rPr>
        <w:t>标的物外立面的户外广告使用权仍由甲方享有，由甲方安排使用及进行收益。</w:t>
      </w:r>
    </w:p>
    <w:p w14:paraId="24E8BBEF">
      <w:pPr>
        <w:rPr>
          <w:rFonts w:hint="eastAsia" w:ascii="宋体" w:hAnsi="宋体"/>
          <w:sz w:val="24"/>
          <w:szCs w:val="24"/>
        </w:rPr>
      </w:pPr>
      <w:r>
        <w:rPr>
          <w:rFonts w:hint="eastAsia" w:ascii="宋体" w:hAnsi="宋体"/>
          <w:b/>
          <w:sz w:val="24"/>
          <w:szCs w:val="24"/>
        </w:rPr>
        <w:t>二、租赁期限</w:t>
      </w:r>
    </w:p>
    <w:p w14:paraId="4FCA34B3">
      <w:pPr>
        <w:rPr>
          <w:rFonts w:hint="eastAsia"/>
          <w:sz w:val="24"/>
          <w:szCs w:val="24"/>
        </w:rPr>
      </w:pPr>
      <w:r>
        <w:rPr>
          <w:rFonts w:hint="eastAsia" w:ascii="宋体" w:hAnsi="宋体"/>
          <w:sz w:val="24"/>
          <w:szCs w:val="24"/>
        </w:rPr>
        <w:t xml:space="preserve">    租赁期限为</w:t>
      </w:r>
      <w:r>
        <w:rPr>
          <w:rFonts w:hint="eastAsia" w:ascii="宋体" w:hAnsi="宋体"/>
          <w:sz w:val="24"/>
          <w:szCs w:val="24"/>
          <w:u w:val="single"/>
        </w:rPr>
        <w:t xml:space="preserve">     </w:t>
      </w:r>
      <w:r>
        <w:rPr>
          <w:rFonts w:hint="eastAsia" w:ascii="宋体" w:hAnsi="宋体"/>
          <w:sz w:val="24"/>
          <w:szCs w:val="24"/>
        </w:rPr>
        <w:t>年，自</w:t>
      </w:r>
      <w:r>
        <w:rPr>
          <w:sz w:val="24"/>
          <w:szCs w:val="24"/>
          <w:u w:val="single"/>
        </w:rPr>
        <w:t xml:space="preserve"> </w:t>
      </w:r>
      <w:r>
        <w:rPr>
          <w:rFonts w:ascii="等线" w:hAnsi="等线"/>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日起至</w:t>
      </w:r>
      <w:r>
        <w:rPr>
          <w:sz w:val="24"/>
          <w:szCs w:val="24"/>
          <w:u w:val="single"/>
        </w:rPr>
        <w:t xml:space="preserve"> </w:t>
      </w:r>
      <w:r>
        <w:rPr>
          <w:rFonts w:ascii="等线" w:hAnsi="等线"/>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止。租赁期限届满，合同自然终止，甲方有权收回房屋，乙方应在租赁期满之日前向甲方返还租赁房屋及附属设施、设备。房屋若继续出租的，甲方按照有关规定，进行新的审批招租手续，重新确定承租人。乙方若要继续承租的，应根据相关规定重新竞拍。</w:t>
      </w:r>
    </w:p>
    <w:p w14:paraId="0303EB57">
      <w:pPr>
        <w:rPr>
          <w:rFonts w:ascii="宋体" w:hAnsi="宋体"/>
          <w:b/>
          <w:sz w:val="24"/>
          <w:szCs w:val="24"/>
        </w:rPr>
      </w:pPr>
      <w:r>
        <w:rPr>
          <w:rFonts w:hint="eastAsia" w:ascii="宋体" w:hAnsi="宋体"/>
          <w:b/>
          <w:sz w:val="24"/>
          <w:szCs w:val="24"/>
        </w:rPr>
        <w:t>三、租金及支付方式</w:t>
      </w:r>
    </w:p>
    <w:p w14:paraId="434E3197">
      <w:pPr>
        <w:ind w:firstLine="480"/>
        <w:rPr>
          <w:rFonts w:hint="eastAsia" w:ascii="宋体" w:hAnsi="宋体"/>
          <w:sz w:val="24"/>
          <w:szCs w:val="24"/>
        </w:rPr>
      </w:pPr>
      <w:r>
        <w:rPr>
          <w:rFonts w:hint="eastAsia" w:ascii="宋体" w:hAnsi="宋体"/>
          <w:sz w:val="24"/>
          <w:szCs w:val="24"/>
        </w:rPr>
        <w:t>1、本合同项下租金为人民币</w:t>
      </w:r>
      <w:r>
        <w:rPr>
          <w:rFonts w:hint="eastAsia" w:ascii="宋体" w:hAnsi="宋体"/>
          <w:sz w:val="24"/>
          <w:szCs w:val="24"/>
          <w:u w:val="single"/>
        </w:rPr>
        <w:t xml:space="preserve">      </w:t>
      </w:r>
      <w:r>
        <w:rPr>
          <w:rFonts w:hint="eastAsia" w:ascii="宋体" w:hAnsi="宋体"/>
          <w:sz w:val="24"/>
          <w:szCs w:val="24"/>
        </w:rPr>
        <w:t>元/年（大写：</w:t>
      </w:r>
      <w:r>
        <w:rPr>
          <w:rFonts w:hint="eastAsia" w:ascii="宋体" w:hAnsi="宋体"/>
          <w:sz w:val="24"/>
          <w:szCs w:val="24"/>
          <w:u w:val="single"/>
        </w:rPr>
        <w:t xml:space="preserve">    元整 </w:t>
      </w:r>
      <w:r>
        <w:rPr>
          <w:rFonts w:hint="eastAsia" w:ascii="宋体" w:hAnsi="宋体"/>
          <w:sz w:val="24"/>
          <w:szCs w:val="24"/>
        </w:rPr>
        <w:t>）（该价格为含税价）。本合同实行先付后用原则，租金每年支付一次。第一年的租金在本合同签订后十日内一次性支付，以后每年度的租金在每租赁年度开始前十日内一次性付清。</w:t>
      </w:r>
    </w:p>
    <w:p w14:paraId="4149163A">
      <w:pPr>
        <w:ind w:firstLine="480"/>
        <w:rPr>
          <w:rFonts w:hint="eastAsia" w:ascii="宋体" w:hAnsi="宋体"/>
          <w:sz w:val="24"/>
          <w:szCs w:val="24"/>
        </w:rPr>
      </w:pPr>
      <w:r>
        <w:rPr>
          <w:rFonts w:hint="eastAsia" w:ascii="宋体" w:hAnsi="宋体"/>
          <w:sz w:val="24"/>
          <w:szCs w:val="24"/>
        </w:rPr>
        <w:t>2、为保证乙方履约以及对承租房屋及附属设施的合理使用，乙方须在协议签订后十日内向甲方支付</w:t>
      </w:r>
      <w:r>
        <w:rPr>
          <w:rFonts w:ascii="宋体" w:hAnsi="宋体"/>
          <w:sz w:val="24"/>
          <w:szCs w:val="24"/>
        </w:rPr>
        <w:t>相当于该房屋三个月的租金作为履约保证金</w:t>
      </w:r>
      <w:r>
        <w:rPr>
          <w:rFonts w:hint="eastAsia" w:ascii="宋体" w:hAnsi="宋体"/>
          <w:sz w:val="24"/>
          <w:szCs w:val="24"/>
        </w:rPr>
        <w:t>，金额为人民币</w:t>
      </w:r>
      <w:r>
        <w:rPr>
          <w:rFonts w:hint="eastAsia"/>
          <w:sz w:val="24"/>
          <w:szCs w:val="24"/>
        </w:rPr>
        <w:t xml:space="preserve"> </w:t>
      </w:r>
      <w:r>
        <w:rPr>
          <w:sz w:val="24"/>
          <w:szCs w:val="24"/>
        </w:rPr>
        <w:t xml:space="preserve">    </w:t>
      </w:r>
      <w:r>
        <w:rPr>
          <w:rFonts w:hint="eastAsia"/>
          <w:sz w:val="24"/>
          <w:szCs w:val="24"/>
        </w:rPr>
        <w:t xml:space="preserve"> </w:t>
      </w:r>
      <w:r>
        <w:rPr>
          <w:rFonts w:hint="eastAsia" w:ascii="宋体" w:hAnsi="宋体"/>
          <w:sz w:val="24"/>
          <w:szCs w:val="24"/>
        </w:rPr>
        <w:t>元（大写</w:t>
      </w:r>
      <w:r>
        <w:rPr>
          <w:rFonts w:hint="eastAsia" w:ascii="宋体" w:hAnsi="宋体"/>
          <w:sz w:val="24"/>
          <w:szCs w:val="24"/>
          <w:u w:val="single"/>
        </w:rPr>
        <w:t>：</w:t>
      </w:r>
      <w:r>
        <w:rPr>
          <w:sz w:val="24"/>
          <w:szCs w:val="24"/>
          <w:u w:val="single"/>
        </w:rPr>
        <w:t xml:space="preserve">   </w:t>
      </w:r>
      <w:r>
        <w:rPr>
          <w:rFonts w:hint="eastAsia" w:ascii="宋体" w:hAnsi="宋体"/>
          <w:sz w:val="24"/>
          <w:szCs w:val="24"/>
          <w:u w:val="single"/>
        </w:rPr>
        <w:t>元整</w:t>
      </w:r>
      <w:r>
        <w:rPr>
          <w:rFonts w:hint="eastAsia"/>
          <w:sz w:val="24"/>
          <w:szCs w:val="24"/>
          <w:u w:val="single"/>
        </w:rPr>
        <w:t xml:space="preserve"> </w:t>
      </w:r>
      <w:r>
        <w:rPr>
          <w:rFonts w:hint="eastAsia" w:ascii="宋体" w:hAnsi="宋体"/>
          <w:sz w:val="24"/>
          <w:szCs w:val="24"/>
        </w:rPr>
        <w:t>）。履约保证金不计利息，租期届满后乙方如期交还的房屋经甲方验收合格、且乙方结清所有费用后  5 日内无息退还。若乙方未按约履行各项义务的，甲方可从履约保证金中直接扣除乙方应承担的违约金、未结清费用及各项赔偿金等。</w:t>
      </w:r>
    </w:p>
    <w:p w14:paraId="0383F2BB">
      <w:pPr>
        <w:ind w:firstLine="480"/>
        <w:rPr>
          <w:rFonts w:hint="eastAsia" w:ascii="宋体" w:hAnsi="宋体"/>
          <w:sz w:val="24"/>
          <w:szCs w:val="24"/>
        </w:rPr>
      </w:pPr>
      <w:r>
        <w:rPr>
          <w:rFonts w:hint="eastAsia" w:ascii="宋体" w:hAnsi="宋体"/>
          <w:sz w:val="24"/>
          <w:szCs w:val="24"/>
        </w:rPr>
        <w:t>租金和履约保证金汇入甲方指定的下列账户：</w:t>
      </w:r>
    </w:p>
    <w:p w14:paraId="14EE6473">
      <w:pPr>
        <w:ind w:firstLine="480"/>
        <w:rPr>
          <w:rFonts w:hint="eastAsia" w:ascii="宋体" w:hAnsi="宋体"/>
          <w:sz w:val="24"/>
          <w:szCs w:val="24"/>
        </w:rPr>
      </w:pPr>
      <w:r>
        <w:rPr>
          <w:rFonts w:hint="eastAsia" w:ascii="宋体" w:hAnsi="宋体"/>
          <w:sz w:val="24"/>
          <w:szCs w:val="24"/>
        </w:rPr>
        <w:t>账户名：宁波华鼎房地产有限公司</w:t>
      </w:r>
    </w:p>
    <w:p w14:paraId="65E81C3D">
      <w:pPr>
        <w:ind w:firstLine="480"/>
        <w:rPr>
          <w:rFonts w:hint="eastAsia" w:ascii="宋体" w:hAnsi="宋体"/>
          <w:sz w:val="24"/>
          <w:szCs w:val="24"/>
        </w:rPr>
      </w:pPr>
      <w:r>
        <w:rPr>
          <w:rFonts w:hint="eastAsia" w:ascii="宋体" w:hAnsi="宋体"/>
          <w:sz w:val="24"/>
          <w:szCs w:val="24"/>
        </w:rPr>
        <w:t>开户行及账号：农行宁波镇海支行</w:t>
      </w:r>
      <w:r>
        <w:rPr>
          <w:rFonts w:hint="eastAsia" w:ascii="等线" w:hAnsi="等线"/>
          <w:sz w:val="24"/>
          <w:szCs w:val="24"/>
        </w:rPr>
        <w:t xml:space="preserve"> </w:t>
      </w:r>
      <w:r>
        <w:rPr>
          <w:rFonts w:ascii="等线" w:hAnsi="等线"/>
          <w:sz w:val="24"/>
          <w:szCs w:val="24"/>
        </w:rPr>
        <w:t xml:space="preserve"> </w:t>
      </w:r>
      <w:r>
        <w:rPr>
          <w:rFonts w:hint="eastAsia" w:ascii="宋体" w:hAnsi="宋体"/>
          <w:color w:val="333333"/>
          <w:sz w:val="24"/>
          <w:szCs w:val="24"/>
        </w:rPr>
        <w:t xml:space="preserve"> </w:t>
      </w:r>
      <w:r>
        <w:rPr>
          <w:rFonts w:hint="eastAsia" w:ascii="宋体" w:hAnsi="宋体"/>
          <w:sz w:val="24"/>
          <w:szCs w:val="24"/>
        </w:rPr>
        <w:t>39259001040001675</w:t>
      </w:r>
    </w:p>
    <w:p w14:paraId="23BC6216">
      <w:pPr>
        <w:ind w:firstLine="480"/>
        <w:rPr>
          <w:rFonts w:hint="eastAsia" w:ascii="宋体" w:hAnsi="宋体"/>
          <w:sz w:val="24"/>
          <w:szCs w:val="24"/>
        </w:rPr>
      </w:pPr>
      <w:r>
        <w:rPr>
          <w:rFonts w:hint="eastAsia" w:ascii="宋体" w:hAnsi="宋体"/>
          <w:sz w:val="24"/>
          <w:szCs w:val="24"/>
        </w:rPr>
        <w:t>甲方收款账户如发生变更的，应提前告知乙方。</w:t>
      </w:r>
    </w:p>
    <w:p w14:paraId="55A2E17F">
      <w:pPr>
        <w:rPr>
          <w:rFonts w:hint="eastAsia" w:ascii="宋体" w:hAnsi="宋体"/>
          <w:sz w:val="24"/>
          <w:szCs w:val="24"/>
        </w:rPr>
      </w:pPr>
      <w:r>
        <w:rPr>
          <w:rFonts w:hint="eastAsia" w:ascii="宋体" w:hAnsi="宋体"/>
          <w:b/>
          <w:sz w:val="24"/>
          <w:szCs w:val="24"/>
        </w:rPr>
        <w:t>四、租赁标的物的使用：</w:t>
      </w:r>
    </w:p>
    <w:p w14:paraId="189A02F5">
      <w:pPr>
        <w:ind w:firstLine="480"/>
        <w:rPr>
          <w:rFonts w:hint="eastAsia" w:ascii="宋体" w:hAnsi="宋体"/>
          <w:sz w:val="24"/>
          <w:szCs w:val="24"/>
        </w:rPr>
      </w:pPr>
      <w:r>
        <w:rPr>
          <w:rFonts w:hint="eastAsia" w:ascii="宋体" w:hAnsi="宋体"/>
          <w:sz w:val="24"/>
          <w:szCs w:val="24"/>
        </w:rPr>
        <w:t>1、租赁标的物的用途为</w:t>
      </w:r>
      <w:r>
        <w:rPr>
          <w:rFonts w:hint="eastAsia" w:ascii="宋体" w:hAnsi="宋体"/>
          <w:sz w:val="24"/>
          <w:szCs w:val="24"/>
          <w:u w:val="single"/>
        </w:rPr>
        <w:t xml:space="preserve">         </w:t>
      </w:r>
      <w:r>
        <w:rPr>
          <w:rFonts w:hint="eastAsia" w:ascii="宋体" w:hAnsi="宋体"/>
          <w:sz w:val="24"/>
          <w:szCs w:val="24"/>
        </w:rPr>
        <w:t>，乙方应严格按照前述用途使用租赁标的物。乙方经营业务必须遵守当地政府和各行业主管部门相关规定，并办理必要手续后才允许经营。</w:t>
      </w:r>
    </w:p>
    <w:p w14:paraId="74AD2917">
      <w:pPr>
        <w:ind w:firstLine="480"/>
        <w:rPr>
          <w:rFonts w:hint="eastAsia" w:ascii="宋体" w:hAnsi="宋体"/>
          <w:sz w:val="24"/>
          <w:szCs w:val="24"/>
        </w:rPr>
      </w:pPr>
      <w:r>
        <w:rPr>
          <w:rFonts w:hint="eastAsia" w:ascii="宋体" w:hAnsi="宋体"/>
          <w:sz w:val="24"/>
          <w:szCs w:val="24"/>
        </w:rPr>
        <w:t>2、未经甲方同意，乙方不得将租赁房屋进行转租、出借、抵押等行为。</w:t>
      </w:r>
    </w:p>
    <w:p w14:paraId="36E67979">
      <w:pPr>
        <w:ind w:firstLine="480"/>
        <w:rPr>
          <w:rFonts w:hint="eastAsia" w:ascii="宋体" w:hAnsi="宋体"/>
          <w:sz w:val="24"/>
          <w:szCs w:val="24"/>
        </w:rPr>
      </w:pPr>
      <w:r>
        <w:rPr>
          <w:rFonts w:hint="eastAsia" w:ascii="宋体" w:hAnsi="宋体"/>
          <w:sz w:val="24"/>
          <w:szCs w:val="24"/>
        </w:rPr>
        <w:t>3、乙方应根据租赁标的物的性质进行合理使用，不得违反国家相关法律、法规及政策的规定。</w:t>
      </w:r>
    </w:p>
    <w:p w14:paraId="47D28733">
      <w:pPr>
        <w:ind w:firstLine="480"/>
        <w:rPr>
          <w:rFonts w:hint="eastAsia" w:ascii="宋体" w:hAnsi="宋体"/>
          <w:sz w:val="24"/>
          <w:szCs w:val="24"/>
        </w:rPr>
      </w:pPr>
      <w:r>
        <w:rPr>
          <w:rFonts w:hint="eastAsia" w:ascii="宋体" w:hAnsi="宋体"/>
          <w:sz w:val="24"/>
          <w:szCs w:val="24"/>
        </w:rPr>
        <w:t>4、乙方不得擅自变动租赁标的物的主体和承重结构，或进行扩建。</w:t>
      </w:r>
    </w:p>
    <w:p w14:paraId="5AA69702">
      <w:pPr>
        <w:ind w:firstLine="480"/>
        <w:rPr>
          <w:rFonts w:hint="eastAsia" w:ascii="宋体" w:hAnsi="宋体"/>
          <w:sz w:val="24"/>
          <w:szCs w:val="24"/>
        </w:rPr>
      </w:pPr>
      <w:r>
        <w:rPr>
          <w:rFonts w:hint="eastAsia" w:ascii="宋体" w:hAnsi="宋体"/>
          <w:sz w:val="24"/>
          <w:szCs w:val="24"/>
        </w:rPr>
        <w:t>5、乙方可以对租赁标的物进行合理装修、装饰，但应符合国家相关规范要求且经甲方书面同意。</w:t>
      </w:r>
    </w:p>
    <w:p w14:paraId="21CE16EC">
      <w:pPr>
        <w:ind w:firstLine="480"/>
        <w:rPr>
          <w:rFonts w:hint="eastAsia" w:ascii="宋体" w:hAnsi="宋体"/>
          <w:sz w:val="24"/>
          <w:szCs w:val="24"/>
        </w:rPr>
      </w:pPr>
      <w:r>
        <w:rPr>
          <w:rFonts w:hint="eastAsia" w:ascii="宋体" w:hAnsi="宋体"/>
          <w:sz w:val="24"/>
          <w:szCs w:val="24"/>
        </w:rPr>
        <w:t>6、租赁标的物及附属设施、设备的日常维修、保养由乙方负责，费用由乙方承担。</w:t>
      </w:r>
    </w:p>
    <w:p w14:paraId="3505A3A8">
      <w:pPr>
        <w:rPr>
          <w:rFonts w:hint="eastAsia" w:ascii="宋体" w:hAnsi="宋体"/>
          <w:b/>
          <w:sz w:val="24"/>
          <w:szCs w:val="24"/>
        </w:rPr>
      </w:pPr>
      <w:r>
        <w:rPr>
          <w:rFonts w:hint="eastAsia" w:ascii="宋体" w:hAnsi="宋体"/>
          <w:b/>
          <w:sz w:val="24"/>
          <w:szCs w:val="24"/>
        </w:rPr>
        <w:t>五、其他权利义务约定</w:t>
      </w:r>
    </w:p>
    <w:p w14:paraId="3A8EF0C0">
      <w:pPr>
        <w:ind w:firstLine="480"/>
        <w:rPr>
          <w:rFonts w:hint="eastAsia" w:ascii="宋体" w:hAnsi="宋体"/>
          <w:sz w:val="24"/>
          <w:szCs w:val="24"/>
        </w:rPr>
      </w:pPr>
      <w:r>
        <w:rPr>
          <w:rFonts w:hint="eastAsia" w:ascii="宋体" w:hAnsi="宋体"/>
          <w:sz w:val="24"/>
          <w:szCs w:val="24"/>
        </w:rPr>
        <w:t>1、甲方应在乙方交付合同履约保证金以及第一期租金后，于3日内 将房屋交付给乙方使用（交付钥匙即视为交付）。房屋交付双方都应参与，对屋内的装修、附属设施、设备等有异议的，应当场提出。</w:t>
      </w:r>
    </w:p>
    <w:p w14:paraId="15674B0A">
      <w:pPr>
        <w:ind w:firstLine="480"/>
        <w:rPr>
          <w:rFonts w:hint="eastAsia" w:ascii="宋体" w:hAnsi="宋体"/>
          <w:sz w:val="24"/>
          <w:szCs w:val="24"/>
        </w:rPr>
      </w:pPr>
      <w:r>
        <w:rPr>
          <w:rFonts w:hint="eastAsia" w:ascii="宋体" w:hAnsi="宋体"/>
          <w:sz w:val="24"/>
          <w:szCs w:val="24"/>
        </w:rPr>
        <w:t>2、考虑到甲方企业及租赁标的物的性质，甲方在租赁期间决定对外转让租赁标的物的，乙方放弃优先购买权。</w:t>
      </w:r>
    </w:p>
    <w:p w14:paraId="7DB31201">
      <w:pPr>
        <w:ind w:firstLine="480"/>
        <w:rPr>
          <w:rFonts w:hint="eastAsia" w:ascii="宋体" w:hAnsi="宋体"/>
          <w:sz w:val="24"/>
          <w:szCs w:val="24"/>
        </w:rPr>
      </w:pPr>
      <w:r>
        <w:rPr>
          <w:rFonts w:hint="eastAsia" w:ascii="宋体" w:hAnsi="宋体"/>
          <w:sz w:val="24"/>
          <w:szCs w:val="24"/>
        </w:rPr>
        <w:t>3、除行政或商业拆迁、或合同约定的提前解除条件成就外，任何一方不得随意解除本合同。</w:t>
      </w:r>
    </w:p>
    <w:p w14:paraId="43EF5513">
      <w:pPr>
        <w:ind w:firstLine="480"/>
        <w:rPr>
          <w:rFonts w:hint="eastAsia" w:ascii="宋体" w:hAnsi="宋体"/>
          <w:sz w:val="24"/>
          <w:szCs w:val="24"/>
        </w:rPr>
      </w:pPr>
      <w:r>
        <w:rPr>
          <w:rFonts w:hint="eastAsia" w:ascii="宋体" w:hAnsi="宋体"/>
          <w:sz w:val="24"/>
          <w:szCs w:val="24"/>
        </w:rPr>
        <w:t>4、乙方租赁期间，应按时缴纳物业费、水电费、燃气费、网络费、土地使用税、房产使用税以及政府有关部门规定应缴纳的各种税费。</w:t>
      </w:r>
    </w:p>
    <w:p w14:paraId="42F53FC7">
      <w:pPr>
        <w:ind w:firstLine="480"/>
        <w:rPr>
          <w:rFonts w:hint="eastAsia" w:ascii="宋体" w:hAnsi="宋体"/>
          <w:sz w:val="24"/>
          <w:szCs w:val="24"/>
        </w:rPr>
      </w:pPr>
      <w:r>
        <w:rPr>
          <w:rFonts w:hint="eastAsia" w:ascii="宋体" w:hAnsi="宋体"/>
          <w:sz w:val="24"/>
          <w:szCs w:val="24"/>
        </w:rPr>
        <w:t>5、租赁期间如遇政府拆迁需提前终止合同的，乙方应无条件配合搬离并返还房屋，政府或其他拆迁单位的一切经济补偿、赔偿由甲方享有，与乙方无涉，属于乙方的装修损失参照拆迁评估报告金额由甲方补偿给乙方。双方同意解除合同，未到期的租赁费按实退还，且互不承担违约及赔偿义务。</w:t>
      </w:r>
    </w:p>
    <w:p w14:paraId="4B89CE25">
      <w:pPr>
        <w:ind w:firstLine="480"/>
        <w:rPr>
          <w:rFonts w:hint="eastAsia" w:ascii="宋体" w:hAnsi="宋体"/>
          <w:sz w:val="24"/>
          <w:szCs w:val="24"/>
        </w:rPr>
      </w:pPr>
      <w:r>
        <w:rPr>
          <w:rFonts w:hint="eastAsia" w:ascii="宋体" w:hAnsi="宋体"/>
          <w:sz w:val="24"/>
          <w:szCs w:val="24"/>
        </w:rPr>
        <w:t>6、租赁期满或合同提前解除返还标的物的，乙方进行的固定装修装饰、增添的不可拆除的附属设备设施无偿归甲方所有。其他留在租赁物内的物品视为乙方放弃所有权，甲方有权处置，如产生处置费用由乙方承担。</w:t>
      </w:r>
    </w:p>
    <w:p w14:paraId="5EB46290">
      <w:pPr>
        <w:ind w:firstLine="480" w:firstLineChars="200"/>
        <w:rPr>
          <w:rFonts w:hint="eastAsia" w:ascii="宋体" w:hAnsi="宋体"/>
          <w:sz w:val="24"/>
          <w:szCs w:val="24"/>
        </w:rPr>
      </w:pPr>
      <w:r>
        <w:rPr>
          <w:rFonts w:hint="eastAsia"/>
          <w:sz w:val="24"/>
          <w:szCs w:val="24"/>
        </w:rPr>
        <w:t>7</w:t>
      </w:r>
      <w:r>
        <w:rPr>
          <w:rFonts w:hint="eastAsia" w:ascii="宋体" w:hAnsi="宋体"/>
          <w:sz w:val="24"/>
          <w:szCs w:val="24"/>
        </w:rPr>
        <w:t>、乙方承诺无条件配合甲方处理好户外广告事宜,确保第三方租赁并使用广告位。</w:t>
      </w:r>
    </w:p>
    <w:p w14:paraId="2C83C740">
      <w:pPr>
        <w:ind w:firstLine="480" w:firstLineChars="200"/>
        <w:rPr>
          <w:rFonts w:hint="eastAsia"/>
          <w:sz w:val="24"/>
          <w:szCs w:val="24"/>
        </w:rPr>
      </w:pPr>
      <w:r>
        <w:rPr>
          <w:rFonts w:hint="eastAsia" w:ascii="宋体" w:hAnsi="宋体"/>
          <w:sz w:val="24"/>
          <w:szCs w:val="24"/>
        </w:rPr>
        <w:t>8、乙方租赁期间，安全责任由乙方负责。</w:t>
      </w:r>
    </w:p>
    <w:p w14:paraId="7C85361C">
      <w:pPr>
        <w:rPr>
          <w:rFonts w:ascii="宋体" w:hAnsi="宋体"/>
          <w:b/>
          <w:sz w:val="24"/>
          <w:szCs w:val="24"/>
        </w:rPr>
      </w:pPr>
      <w:r>
        <w:rPr>
          <w:rFonts w:hint="eastAsia" w:ascii="宋体" w:hAnsi="宋体"/>
          <w:b/>
          <w:sz w:val="24"/>
          <w:szCs w:val="24"/>
        </w:rPr>
        <w:t>六、合同的解除</w:t>
      </w:r>
    </w:p>
    <w:p w14:paraId="5F8DD571">
      <w:pPr>
        <w:ind w:firstLine="480"/>
        <w:rPr>
          <w:rFonts w:hint="eastAsia" w:ascii="宋体" w:hAnsi="宋体"/>
          <w:sz w:val="24"/>
          <w:szCs w:val="24"/>
        </w:rPr>
      </w:pPr>
      <w:r>
        <w:rPr>
          <w:rFonts w:hint="eastAsia" w:ascii="宋体" w:hAnsi="宋体"/>
          <w:sz w:val="24"/>
          <w:szCs w:val="24"/>
        </w:rPr>
        <w:t>1、甲、乙双方经协商一致可以解除合同。</w:t>
      </w:r>
    </w:p>
    <w:p w14:paraId="79251827">
      <w:pPr>
        <w:ind w:firstLine="480"/>
        <w:rPr>
          <w:rFonts w:hint="eastAsia" w:ascii="宋体" w:hAnsi="宋体"/>
          <w:sz w:val="24"/>
          <w:szCs w:val="24"/>
        </w:rPr>
      </w:pPr>
      <w:r>
        <w:rPr>
          <w:rFonts w:hint="eastAsia" w:ascii="宋体" w:hAnsi="宋体"/>
          <w:sz w:val="24"/>
          <w:szCs w:val="24"/>
        </w:rPr>
        <w:t>2、有下列情形之一的，甲方有权单方解除合同：</w:t>
      </w:r>
    </w:p>
    <w:p w14:paraId="4845A0C8">
      <w:pPr>
        <w:ind w:firstLine="480"/>
        <w:rPr>
          <w:rFonts w:hint="eastAsia" w:ascii="宋体" w:hAnsi="宋体"/>
          <w:sz w:val="24"/>
          <w:szCs w:val="24"/>
        </w:rPr>
      </w:pPr>
      <w:r>
        <w:rPr>
          <w:rFonts w:hint="eastAsia" w:ascii="宋体" w:hAnsi="宋体"/>
          <w:sz w:val="24"/>
          <w:szCs w:val="24"/>
        </w:rPr>
        <w:t>（1）乙方未按约定支付租金或履约保证金达30日的；</w:t>
      </w:r>
    </w:p>
    <w:p w14:paraId="2EDC0ED3">
      <w:pPr>
        <w:ind w:firstLine="480"/>
        <w:rPr>
          <w:rFonts w:hint="eastAsia" w:ascii="宋体" w:hAnsi="宋体"/>
          <w:sz w:val="24"/>
          <w:szCs w:val="24"/>
        </w:rPr>
      </w:pPr>
      <w:r>
        <w:rPr>
          <w:rFonts w:hint="eastAsia" w:ascii="宋体" w:hAnsi="宋体"/>
          <w:sz w:val="24"/>
          <w:szCs w:val="24"/>
        </w:rPr>
        <w:t>（2）乙方违反租赁标的物的用途使用租赁标的物的；</w:t>
      </w:r>
    </w:p>
    <w:p w14:paraId="6C7AF279">
      <w:pPr>
        <w:ind w:firstLine="480"/>
        <w:rPr>
          <w:rFonts w:hint="eastAsia" w:ascii="宋体" w:hAnsi="宋体"/>
          <w:sz w:val="24"/>
          <w:szCs w:val="24"/>
        </w:rPr>
      </w:pPr>
      <w:r>
        <w:rPr>
          <w:rFonts w:hint="eastAsia" w:ascii="宋体" w:hAnsi="宋体"/>
          <w:sz w:val="24"/>
          <w:szCs w:val="24"/>
        </w:rPr>
        <w:t>（3）乙方利用租赁标的物进行违法犯罪、损害公共利益等活动或严重妨碍他人正常工作、生活的；</w:t>
      </w:r>
    </w:p>
    <w:p w14:paraId="6C8C0D03">
      <w:pPr>
        <w:ind w:firstLine="480"/>
        <w:rPr>
          <w:rFonts w:hint="eastAsia" w:ascii="宋体" w:hAnsi="宋体"/>
          <w:sz w:val="24"/>
          <w:szCs w:val="24"/>
        </w:rPr>
      </w:pPr>
      <w:r>
        <w:rPr>
          <w:rFonts w:hint="eastAsia" w:ascii="宋体" w:hAnsi="宋体"/>
          <w:sz w:val="24"/>
          <w:szCs w:val="24"/>
        </w:rPr>
        <w:t xml:space="preserve">（4）乙方擅自变动租赁标的物的主体和承重结构、或进行扩建的；  </w:t>
      </w:r>
    </w:p>
    <w:p w14:paraId="193D45C0">
      <w:pPr>
        <w:ind w:firstLine="480"/>
        <w:rPr>
          <w:rFonts w:hint="eastAsia" w:ascii="宋体" w:hAnsi="宋体"/>
          <w:sz w:val="24"/>
          <w:szCs w:val="24"/>
        </w:rPr>
      </w:pPr>
      <w:r>
        <w:rPr>
          <w:rFonts w:hint="eastAsia" w:ascii="宋体" w:hAnsi="宋体"/>
          <w:sz w:val="24"/>
          <w:szCs w:val="24"/>
        </w:rPr>
        <w:t>（5）乙方未及时对租赁标的物及附属设施设备进行日常维修、保养，严重影响租赁标的物及附属设施设备使用的；</w:t>
      </w:r>
    </w:p>
    <w:p w14:paraId="447DC042">
      <w:pPr>
        <w:ind w:firstLine="480"/>
        <w:rPr>
          <w:rFonts w:hint="eastAsia" w:ascii="宋体" w:hAnsi="宋体"/>
          <w:sz w:val="24"/>
          <w:szCs w:val="24"/>
        </w:rPr>
      </w:pPr>
      <w:r>
        <w:rPr>
          <w:rFonts w:hint="eastAsia" w:ascii="宋体" w:hAnsi="宋体"/>
          <w:sz w:val="24"/>
          <w:szCs w:val="24"/>
        </w:rPr>
        <w:t>（6）乙方未按时足额缴纳第五条第4项约定的各项税费，导致甲方损失的，经甲方一次催告仍不缴纳的；</w:t>
      </w:r>
    </w:p>
    <w:p w14:paraId="186A8F6B">
      <w:pPr>
        <w:ind w:firstLine="480"/>
        <w:rPr>
          <w:rFonts w:hint="eastAsia" w:ascii="宋体" w:hAnsi="宋体"/>
          <w:sz w:val="24"/>
          <w:szCs w:val="24"/>
        </w:rPr>
      </w:pPr>
      <w:r>
        <w:rPr>
          <w:rFonts w:hint="eastAsia" w:ascii="宋体" w:hAnsi="宋体"/>
          <w:sz w:val="24"/>
          <w:szCs w:val="24"/>
        </w:rPr>
        <w:t>（7）乙方擅自将房屋转租、分租、出借、抵押给第三方的；</w:t>
      </w:r>
    </w:p>
    <w:p w14:paraId="336147B7">
      <w:pPr>
        <w:ind w:firstLine="480" w:firstLineChars="200"/>
        <w:rPr>
          <w:rFonts w:hint="eastAsia" w:ascii="宋体" w:hAnsi="宋体"/>
          <w:sz w:val="24"/>
          <w:szCs w:val="24"/>
        </w:rPr>
      </w:pPr>
      <w:r>
        <w:rPr>
          <w:rFonts w:hint="eastAsia" w:ascii="宋体" w:hAnsi="宋体"/>
          <w:sz w:val="24"/>
          <w:szCs w:val="24"/>
        </w:rPr>
        <w:t>（8）法律法规规定的其他可以解除合同的情形。</w:t>
      </w:r>
    </w:p>
    <w:p w14:paraId="72D5ABED">
      <w:pPr>
        <w:ind w:firstLine="480"/>
        <w:rPr>
          <w:rFonts w:hint="eastAsia" w:ascii="宋体" w:hAnsi="宋体"/>
          <w:sz w:val="24"/>
          <w:szCs w:val="24"/>
        </w:rPr>
      </w:pPr>
      <w:r>
        <w:rPr>
          <w:rFonts w:hint="eastAsia" w:ascii="宋体" w:hAnsi="宋体"/>
          <w:sz w:val="24"/>
          <w:szCs w:val="24"/>
        </w:rPr>
        <w:t>3、有下列情形之一的，乙方有权单方解除合同：</w:t>
      </w:r>
    </w:p>
    <w:p w14:paraId="79042184">
      <w:pPr>
        <w:ind w:firstLine="480"/>
        <w:rPr>
          <w:rFonts w:hint="eastAsia" w:ascii="宋体" w:hAnsi="宋体"/>
          <w:sz w:val="24"/>
          <w:szCs w:val="24"/>
        </w:rPr>
      </w:pPr>
      <w:r>
        <w:rPr>
          <w:rFonts w:hint="eastAsia" w:ascii="宋体" w:hAnsi="宋体"/>
          <w:sz w:val="24"/>
          <w:szCs w:val="24"/>
        </w:rPr>
        <w:t>（1）租赁标的物主体或承重结构存在严重瑕疵，无法修复并影响承租人使用的；</w:t>
      </w:r>
    </w:p>
    <w:p w14:paraId="1DD0C8D3">
      <w:pPr>
        <w:ind w:firstLine="480"/>
        <w:rPr>
          <w:rFonts w:hint="eastAsia" w:ascii="宋体" w:hAnsi="宋体"/>
          <w:sz w:val="24"/>
          <w:szCs w:val="24"/>
        </w:rPr>
      </w:pPr>
      <w:r>
        <w:rPr>
          <w:rFonts w:hint="eastAsia" w:ascii="宋体" w:hAnsi="宋体"/>
          <w:sz w:val="24"/>
          <w:szCs w:val="24"/>
        </w:rPr>
        <w:t>（2）法律法规规定的其他可以解除合同的情形。</w:t>
      </w:r>
    </w:p>
    <w:p w14:paraId="7E09FCB8">
      <w:pPr>
        <w:rPr>
          <w:rFonts w:hint="eastAsia" w:ascii="宋体" w:hAnsi="宋体"/>
          <w:b/>
          <w:sz w:val="24"/>
          <w:szCs w:val="24"/>
        </w:rPr>
      </w:pPr>
      <w:r>
        <w:rPr>
          <w:rFonts w:hint="eastAsia" w:ascii="宋体" w:hAnsi="宋体"/>
          <w:b/>
          <w:sz w:val="24"/>
          <w:szCs w:val="24"/>
        </w:rPr>
        <w:t>七、不可抗力</w:t>
      </w:r>
    </w:p>
    <w:p w14:paraId="4B76C5D5">
      <w:pPr>
        <w:rPr>
          <w:rFonts w:hint="eastAsia" w:ascii="宋体" w:hAnsi="宋体"/>
          <w:sz w:val="24"/>
          <w:szCs w:val="24"/>
        </w:rPr>
      </w:pPr>
      <w:r>
        <w:rPr>
          <w:rFonts w:hint="eastAsia" w:ascii="宋体" w:hAnsi="宋体"/>
          <w:b/>
          <w:sz w:val="24"/>
          <w:szCs w:val="24"/>
        </w:rPr>
        <w:t xml:space="preserve">    </w:t>
      </w:r>
      <w:r>
        <w:rPr>
          <w:rFonts w:hint="eastAsia" w:ascii="宋体" w:hAnsi="宋体"/>
          <w:sz w:val="24"/>
          <w:szCs w:val="24"/>
        </w:rPr>
        <w:t>发生战争、政策变化、自然灾害等不可抗力致使租赁标的物不能使用的，本合同自然终止，双方互不承担违约及赔偿责任。</w:t>
      </w:r>
    </w:p>
    <w:p w14:paraId="177C9D64">
      <w:pPr>
        <w:rPr>
          <w:rFonts w:hint="eastAsia" w:eastAsia="Times New Roman"/>
          <w:b/>
          <w:sz w:val="24"/>
          <w:szCs w:val="24"/>
        </w:rPr>
      </w:pPr>
      <w:r>
        <w:rPr>
          <w:rFonts w:hint="eastAsia" w:ascii="宋体" w:hAnsi="宋体"/>
          <w:b/>
          <w:sz w:val="24"/>
          <w:szCs w:val="24"/>
        </w:rPr>
        <w:t>八、违约责任</w:t>
      </w:r>
    </w:p>
    <w:p w14:paraId="5B9AAF9B">
      <w:pPr>
        <w:ind w:firstLine="480"/>
        <w:rPr>
          <w:rFonts w:ascii="宋体" w:hAnsi="宋体"/>
          <w:sz w:val="24"/>
          <w:szCs w:val="24"/>
        </w:rPr>
      </w:pPr>
      <w:r>
        <w:rPr>
          <w:rFonts w:hint="eastAsia" w:ascii="宋体" w:hAnsi="宋体"/>
          <w:sz w:val="24"/>
          <w:szCs w:val="24"/>
        </w:rPr>
        <w:t>1、甲方发生第六条第3款规定的各违约行为的，乙方除享有单方解除合同的权利外，还有权要求甲方按合同年度租金的20%承担违约责任。乙方的实际损失高于违约金的，还可以要求甲方承担实际损失与违约金的差额部分。乙方不行使合同解除权，不影响乙方要求甲方按前述约定承担违约责任的权利。</w:t>
      </w:r>
    </w:p>
    <w:p w14:paraId="401CB618">
      <w:pPr>
        <w:ind w:firstLine="480"/>
        <w:rPr>
          <w:rFonts w:hint="eastAsia" w:ascii="宋体" w:hAnsi="宋体"/>
          <w:sz w:val="24"/>
          <w:szCs w:val="24"/>
        </w:rPr>
      </w:pPr>
      <w:r>
        <w:rPr>
          <w:rFonts w:hint="eastAsia" w:ascii="宋体" w:hAnsi="宋体"/>
          <w:sz w:val="24"/>
          <w:szCs w:val="24"/>
        </w:rPr>
        <w:t>2、乙方发生第六条第2款规定的各违约行为的，甲方除享有单方解除合同的权利外，还有权要求乙方按合同年度租金的20%承担违约责任。甲方的实际损失高于违约金的，还可以要求乙方承担实际损失与违约金的差额部分。甲方不行使合同解除权，不影响甲方要求乙方按前述约定承担违约责任的权利。</w:t>
      </w:r>
    </w:p>
    <w:p w14:paraId="16BC1B26">
      <w:pPr>
        <w:ind w:firstLine="480"/>
        <w:rPr>
          <w:rFonts w:hint="eastAsia" w:ascii="宋体" w:hAnsi="宋体"/>
          <w:sz w:val="24"/>
          <w:szCs w:val="24"/>
        </w:rPr>
      </w:pPr>
      <w:r>
        <w:rPr>
          <w:rFonts w:hint="eastAsia" w:ascii="宋体" w:hAnsi="宋体"/>
          <w:sz w:val="24"/>
          <w:szCs w:val="24"/>
        </w:rPr>
        <w:t>3、乙方逾期支付租金或其他费用，经甲方催告后仍不支付的，应每日向甲方支付应付未付金额万分之三的违约金，超过30日仍未支付的，甲方有权单方解除协议。</w:t>
      </w:r>
    </w:p>
    <w:p w14:paraId="2EDA597A">
      <w:pPr>
        <w:ind w:firstLine="480"/>
        <w:rPr>
          <w:rFonts w:hint="eastAsia" w:ascii="宋体" w:hAnsi="宋体"/>
          <w:b/>
          <w:sz w:val="24"/>
          <w:szCs w:val="24"/>
        </w:rPr>
      </w:pPr>
      <w:r>
        <w:rPr>
          <w:rFonts w:hint="eastAsia" w:ascii="宋体" w:hAnsi="宋体"/>
          <w:sz w:val="24"/>
          <w:szCs w:val="24"/>
        </w:rPr>
        <w:t>4、房屋租赁期限届满双方未能达成新的租赁协议，或者本协议提前解除的，双方应在租赁期满之日，或提前解除协议后七日内腾退并返还租赁房屋及附属设施设备。乙方逾期未归还房屋，按租赁期间租金的</w:t>
      </w:r>
      <w:r>
        <w:rPr>
          <w:rFonts w:hint="eastAsia" w:ascii="宋体" w:hAnsi="宋体"/>
          <w:sz w:val="24"/>
          <w:szCs w:val="24"/>
          <w:u w:val="single"/>
        </w:rPr>
        <w:t>双倍</w:t>
      </w:r>
      <w:r>
        <w:rPr>
          <w:rFonts w:hint="eastAsia" w:ascii="宋体" w:hAnsi="宋体"/>
          <w:sz w:val="24"/>
          <w:szCs w:val="24"/>
        </w:rPr>
        <w:t>标准支付房屋占用费，直至归还房屋之日。</w:t>
      </w:r>
    </w:p>
    <w:p w14:paraId="11D30617">
      <w:pPr>
        <w:rPr>
          <w:rFonts w:hint="eastAsia" w:ascii="宋体" w:hAnsi="宋体"/>
          <w:b/>
          <w:sz w:val="24"/>
          <w:szCs w:val="24"/>
        </w:rPr>
      </w:pPr>
      <w:r>
        <w:rPr>
          <w:rFonts w:hint="eastAsia" w:ascii="宋体" w:hAnsi="宋体"/>
          <w:b/>
          <w:sz w:val="24"/>
          <w:szCs w:val="24"/>
        </w:rPr>
        <w:t>九、争议的解决</w:t>
      </w:r>
    </w:p>
    <w:p w14:paraId="7FDC212C">
      <w:pPr>
        <w:rPr>
          <w:rFonts w:hint="eastAsia" w:ascii="宋体" w:hAnsi="宋体"/>
          <w:sz w:val="24"/>
          <w:szCs w:val="24"/>
        </w:rPr>
      </w:pPr>
      <w:r>
        <w:rPr>
          <w:rFonts w:hint="eastAsia" w:ascii="宋体" w:hAnsi="宋体"/>
          <w:sz w:val="24"/>
          <w:szCs w:val="24"/>
        </w:rPr>
        <w:t xml:space="preserve">    因履行本合同发生争议的，双方协商解决，协商不成的提交租赁标的物所在地的人民法院诉讼解决。</w:t>
      </w:r>
    </w:p>
    <w:p w14:paraId="6512B548">
      <w:pPr>
        <w:rPr>
          <w:rFonts w:hint="eastAsia" w:ascii="宋体" w:hAnsi="宋体"/>
          <w:b/>
          <w:sz w:val="24"/>
          <w:szCs w:val="24"/>
        </w:rPr>
      </w:pPr>
      <w:r>
        <w:rPr>
          <w:rFonts w:hint="eastAsia" w:ascii="宋体" w:hAnsi="宋体"/>
          <w:b/>
          <w:sz w:val="24"/>
          <w:szCs w:val="24"/>
        </w:rPr>
        <w:t>十、送达</w:t>
      </w:r>
    </w:p>
    <w:p w14:paraId="4FF88042">
      <w:pPr>
        <w:rPr>
          <w:rFonts w:hint="eastAsia" w:eastAsia="Times New Roman"/>
          <w:sz w:val="24"/>
          <w:szCs w:val="24"/>
        </w:rPr>
      </w:pPr>
      <w:r>
        <w:rPr>
          <w:rFonts w:hint="eastAsia" w:ascii="宋体" w:hAnsi="宋体"/>
          <w:sz w:val="24"/>
          <w:szCs w:val="24"/>
        </w:rPr>
        <w:t xml:space="preserve">    双方确认以下地址为双方接收对方通知的地址，一方按下列地址向另一方寄送书面材料的，自寄送之日起</w:t>
      </w:r>
      <w:r>
        <w:rPr>
          <w:rFonts w:eastAsia="Times New Roman"/>
          <w:sz w:val="24"/>
          <w:szCs w:val="24"/>
        </w:rPr>
        <w:t>5</w:t>
      </w:r>
      <w:r>
        <w:rPr>
          <w:rFonts w:hint="eastAsia" w:ascii="宋体" w:hAnsi="宋体"/>
          <w:sz w:val="24"/>
          <w:szCs w:val="24"/>
        </w:rPr>
        <w:t>日后视为收到，无论是否被退回或拒收。一方变更联系地址的，应当自变更之日起</w:t>
      </w:r>
      <w:r>
        <w:rPr>
          <w:rFonts w:eastAsia="Times New Roman"/>
          <w:sz w:val="24"/>
          <w:szCs w:val="24"/>
        </w:rPr>
        <w:t>3</w:t>
      </w:r>
      <w:r>
        <w:rPr>
          <w:rFonts w:hint="eastAsia" w:ascii="宋体" w:hAnsi="宋体"/>
          <w:sz w:val="24"/>
          <w:szCs w:val="24"/>
        </w:rPr>
        <w:t>日内通知对方、未通知的仍以原地址为准（本条约定适用司法机关送达法律文件）。</w:t>
      </w:r>
    </w:p>
    <w:p w14:paraId="495F3A3F">
      <w:pPr>
        <w:ind w:firstLine="480"/>
        <w:rPr>
          <w:rFonts w:ascii="宋体" w:hAnsi="宋体"/>
          <w:sz w:val="24"/>
          <w:szCs w:val="24"/>
        </w:rPr>
      </w:pPr>
      <w:r>
        <w:rPr>
          <w:rFonts w:hint="eastAsia" w:ascii="宋体" w:hAnsi="宋体"/>
          <w:sz w:val="24"/>
          <w:szCs w:val="24"/>
        </w:rPr>
        <w:t>甲方地址：宁波化工区蛟川区块南洪自来水厂</w:t>
      </w:r>
    </w:p>
    <w:p w14:paraId="0BE6D05D">
      <w:pPr>
        <w:ind w:firstLine="480"/>
        <w:rPr>
          <w:rFonts w:hint="eastAsia" w:eastAsia="Times New Roman"/>
          <w:sz w:val="24"/>
          <w:szCs w:val="24"/>
        </w:rPr>
      </w:pPr>
      <w:r>
        <w:rPr>
          <w:rFonts w:hint="eastAsia" w:ascii="宋体" w:hAnsi="宋体"/>
          <w:sz w:val="24"/>
          <w:szCs w:val="24"/>
        </w:rPr>
        <w:t>乙方地址：</w:t>
      </w:r>
      <w:r>
        <w:rPr>
          <w:rFonts w:hint="eastAsia" w:ascii="宋体" w:hAnsi="宋体"/>
          <w:sz w:val="24"/>
          <w:szCs w:val="24"/>
          <w:u w:val="single"/>
        </w:rPr>
        <w:t xml:space="preserve">                              </w:t>
      </w:r>
    </w:p>
    <w:p w14:paraId="69ED584D">
      <w:pPr>
        <w:rPr>
          <w:rFonts w:eastAsia="Times New Roman"/>
          <w:b/>
          <w:sz w:val="24"/>
          <w:szCs w:val="24"/>
        </w:rPr>
      </w:pPr>
      <w:r>
        <w:rPr>
          <w:rFonts w:hint="eastAsia" w:ascii="宋体" w:hAnsi="宋体"/>
          <w:b/>
          <w:sz w:val="24"/>
          <w:szCs w:val="24"/>
        </w:rPr>
        <w:t>十一、其它</w:t>
      </w:r>
    </w:p>
    <w:p w14:paraId="4AD67346">
      <w:pPr>
        <w:rPr>
          <w:rFonts w:ascii="宋体" w:hAnsi="宋体"/>
          <w:sz w:val="24"/>
          <w:szCs w:val="24"/>
        </w:rPr>
      </w:pPr>
      <w:r>
        <w:rPr>
          <w:rFonts w:hint="eastAsia" w:ascii="宋体" w:hAnsi="宋体"/>
          <w:sz w:val="24"/>
          <w:szCs w:val="24"/>
        </w:rPr>
        <w:t xml:space="preserve">    1、本合同自双方盖章或签字之日起生效。</w:t>
      </w:r>
    </w:p>
    <w:p w14:paraId="6541612F">
      <w:pPr>
        <w:ind w:firstLine="480"/>
        <w:rPr>
          <w:rFonts w:hint="eastAsia" w:ascii="宋体" w:hAnsi="宋体"/>
          <w:sz w:val="24"/>
          <w:szCs w:val="24"/>
        </w:rPr>
      </w:pPr>
      <w:r>
        <w:rPr>
          <w:rFonts w:hint="eastAsia" w:ascii="宋体" w:hAnsi="宋体"/>
          <w:sz w:val="24"/>
          <w:szCs w:val="24"/>
        </w:rPr>
        <w:t>2、本合同附件为本合同的有效组成部分。</w:t>
      </w:r>
    </w:p>
    <w:p w14:paraId="21716AFA">
      <w:pPr>
        <w:rPr>
          <w:rFonts w:hint="eastAsia" w:ascii="宋体" w:hAnsi="宋体"/>
          <w:sz w:val="24"/>
          <w:szCs w:val="24"/>
        </w:rPr>
      </w:pPr>
      <w:r>
        <w:rPr>
          <w:rFonts w:hint="eastAsia" w:ascii="宋体" w:hAnsi="宋体"/>
          <w:sz w:val="24"/>
          <w:szCs w:val="24"/>
        </w:rPr>
        <w:t xml:space="preserve">    3、本协议(及附件)一式伍份，其中甲方执叁份，乙方执贰份。</w:t>
      </w:r>
    </w:p>
    <w:p w14:paraId="0E6EAF21">
      <w:pPr>
        <w:rPr>
          <w:rFonts w:hint="eastAsia" w:ascii="宋体" w:hAnsi="宋体"/>
          <w:sz w:val="28"/>
          <w:szCs w:val="28"/>
        </w:rPr>
      </w:pPr>
      <w:r>
        <w:rPr>
          <w:rFonts w:hint="eastAsia" w:ascii="宋体" w:hAnsi="宋体"/>
          <w:sz w:val="28"/>
          <w:szCs w:val="28"/>
        </w:rPr>
        <w:t>甲方（盖章）：                    乙方（盖章）：</w:t>
      </w:r>
    </w:p>
    <w:p w14:paraId="1E795661">
      <w:pPr>
        <w:rPr>
          <w:rFonts w:hint="eastAsia" w:ascii="宋体" w:hAnsi="宋体"/>
          <w:sz w:val="28"/>
          <w:szCs w:val="28"/>
        </w:rPr>
      </w:pPr>
      <w:r>
        <w:rPr>
          <w:rFonts w:hint="eastAsia" w:ascii="宋体" w:hAnsi="宋体"/>
          <w:sz w:val="28"/>
          <w:szCs w:val="28"/>
        </w:rPr>
        <w:t xml:space="preserve"> </w:t>
      </w:r>
    </w:p>
    <w:p w14:paraId="3764C5BF">
      <w:pPr>
        <w:rPr>
          <w:rFonts w:hint="eastAsia" w:ascii="宋体" w:hAnsi="宋体"/>
          <w:sz w:val="28"/>
          <w:szCs w:val="28"/>
        </w:rPr>
      </w:pPr>
      <w:r>
        <w:rPr>
          <w:rFonts w:hint="eastAsia" w:ascii="宋体" w:hAnsi="宋体"/>
          <w:sz w:val="28"/>
          <w:szCs w:val="28"/>
        </w:rPr>
        <w:t>法定代表人                        法定代表人</w:t>
      </w:r>
    </w:p>
    <w:p w14:paraId="7E0F3989">
      <w:pPr>
        <w:rPr>
          <w:rFonts w:hint="eastAsia" w:ascii="宋体" w:hAnsi="宋体"/>
          <w:sz w:val="28"/>
          <w:szCs w:val="28"/>
        </w:rPr>
      </w:pPr>
      <w:r>
        <w:rPr>
          <w:rFonts w:hint="eastAsia" w:ascii="宋体" w:hAnsi="宋体"/>
          <w:sz w:val="28"/>
          <w:szCs w:val="28"/>
        </w:rPr>
        <w:t>或授权代表（签字或盖章）：         或授权代表（签字或盖章）：</w:t>
      </w:r>
    </w:p>
    <w:p w14:paraId="76F20A78">
      <w:pPr>
        <w:rPr>
          <w:rFonts w:hint="eastAsia" w:ascii="宋体" w:hAnsi="宋体"/>
          <w:sz w:val="28"/>
          <w:szCs w:val="28"/>
        </w:rPr>
      </w:pPr>
      <w:r>
        <w:rPr>
          <w:rFonts w:hint="eastAsia" w:ascii="宋体" w:hAnsi="宋体"/>
          <w:sz w:val="28"/>
          <w:szCs w:val="28"/>
        </w:rPr>
        <w:t>日期     年     月     日         日期：   年    月    日</w:t>
      </w:r>
    </w:p>
    <w:p w14:paraId="69AC9150">
      <w:pPr>
        <w:rPr>
          <w:rFonts w:hint="eastAsia" w:ascii="宋体" w:hAnsi="宋体"/>
          <w:sz w:val="28"/>
          <w:szCs w:val="28"/>
        </w:rPr>
      </w:pPr>
    </w:p>
    <w:p w14:paraId="5691C5C8">
      <w:pPr>
        <w:adjustRightInd w:val="0"/>
        <w:snapToGrid w:val="0"/>
        <w:spacing w:line="560" w:lineRule="exact"/>
        <w:rPr>
          <w:rFonts w:hint="eastAsia" w:ascii="仿宋" w:hAnsi="仿宋" w:eastAsia="仿宋"/>
          <w:sz w:val="32"/>
          <w:szCs w:val="32"/>
        </w:rPr>
      </w:pPr>
    </w:p>
    <w:p w14:paraId="50959207">
      <w:pPr>
        <w:adjustRightInd w:val="0"/>
        <w:snapToGrid w:val="0"/>
        <w:spacing w:line="560" w:lineRule="exact"/>
        <w:rPr>
          <w:rFonts w:hint="eastAsia" w:ascii="方正小标宋简体" w:eastAsia="方正小标宋简体"/>
          <w:sz w:val="44"/>
          <w:szCs w:val="44"/>
        </w:rPr>
      </w:pPr>
      <w:r>
        <w:rPr>
          <w:rFonts w:hint="eastAsia" w:ascii="仿宋" w:hAnsi="仿宋" w:eastAsia="仿宋"/>
          <w:sz w:val="32"/>
          <w:szCs w:val="32"/>
        </w:rPr>
        <w:t xml:space="preserve">            </w:t>
      </w:r>
      <w:r>
        <w:rPr>
          <w:rFonts w:hint="eastAsia" w:ascii="方正小标宋简体" w:eastAsia="方正小标宋简体"/>
          <w:sz w:val="44"/>
          <w:szCs w:val="44"/>
        </w:rPr>
        <w:t>出租资产安全协议</w:t>
      </w:r>
    </w:p>
    <w:p w14:paraId="72A09553">
      <w:pPr>
        <w:adjustRightInd w:val="0"/>
        <w:snapToGrid w:val="0"/>
        <w:spacing w:line="560" w:lineRule="exact"/>
        <w:rPr>
          <w:rFonts w:hint="eastAsia" w:ascii="仿宋_GB2312" w:hAnsi="仿宋" w:eastAsia="仿宋_GB2312"/>
          <w:sz w:val="32"/>
          <w:szCs w:val="32"/>
          <w:lang w:eastAsia="zh-CN"/>
        </w:rPr>
      </w:pPr>
      <w:r>
        <w:rPr>
          <w:rFonts w:hint="eastAsia" w:ascii="仿宋_GB2312" w:hAnsi="仿宋" w:eastAsia="仿宋_GB2312"/>
          <w:sz w:val="32"/>
          <w:szCs w:val="32"/>
        </w:rPr>
        <w:t>出租方：</w:t>
      </w:r>
      <w:r>
        <w:rPr>
          <w:rFonts w:hint="eastAsia" w:ascii="仿宋_GB2312" w:hAnsi="仿宋" w:eastAsia="仿宋_GB2312"/>
          <w:sz w:val="32"/>
          <w:szCs w:val="32"/>
          <w:lang w:eastAsia="zh-CN"/>
        </w:rPr>
        <w:t>宁波华鼎房地产有限公司</w:t>
      </w:r>
    </w:p>
    <w:p w14:paraId="2BC6610A">
      <w:pPr>
        <w:adjustRightInd w:val="0"/>
        <w:snapToGrid w:val="0"/>
        <w:spacing w:line="560" w:lineRule="exact"/>
        <w:rPr>
          <w:rFonts w:hint="eastAsia" w:ascii="仿宋_GB2312" w:hAnsi="仿宋" w:eastAsia="仿宋_GB2312"/>
          <w:sz w:val="32"/>
          <w:szCs w:val="32"/>
        </w:rPr>
      </w:pPr>
    </w:p>
    <w:p w14:paraId="52C75817">
      <w:pPr>
        <w:spacing w:line="480" w:lineRule="exact"/>
        <w:rPr>
          <w:rFonts w:hint="eastAsia" w:ascii="仿宋" w:hAnsi="仿宋" w:eastAsia="仿宋" w:cs="仿宋"/>
          <w:color w:val="000000"/>
          <w:sz w:val="32"/>
          <w:szCs w:val="32"/>
          <w:lang w:eastAsia="zh-CN"/>
        </w:rPr>
      </w:pPr>
      <w:r>
        <w:rPr>
          <w:rFonts w:hint="eastAsia" w:ascii="仿宋_GB2312" w:hAnsi="仿宋" w:eastAsia="仿宋_GB2312"/>
          <w:sz w:val="32"/>
          <w:szCs w:val="32"/>
        </w:rPr>
        <w:t>承租方：</w:t>
      </w:r>
    </w:p>
    <w:p w14:paraId="1086D2E7">
      <w:pPr>
        <w:adjustRightInd w:val="0"/>
        <w:snapToGrid w:val="0"/>
        <w:spacing w:line="560" w:lineRule="exact"/>
        <w:rPr>
          <w:rFonts w:hint="eastAsia" w:ascii="仿宋_GB2312" w:hAnsi="仿宋" w:eastAsia="仿宋_GB2312"/>
          <w:sz w:val="32"/>
          <w:szCs w:val="32"/>
          <w:lang w:eastAsia="zh-CN"/>
        </w:rPr>
      </w:pPr>
    </w:p>
    <w:p w14:paraId="042C51DC">
      <w:pPr>
        <w:widowControl/>
        <w:adjustRightInd w:val="0"/>
        <w:snapToGrid w:val="0"/>
        <w:spacing w:line="560" w:lineRule="exact"/>
        <w:ind w:firstLine="640" w:firstLineChars="200"/>
        <w:rPr>
          <w:rFonts w:hint="eastAsia" w:ascii="仿宋_GB2312" w:hAnsi="仿宋" w:eastAsia="仿宋_GB2312"/>
          <w:sz w:val="32"/>
          <w:szCs w:val="32"/>
        </w:rPr>
      </w:pPr>
    </w:p>
    <w:p w14:paraId="280BAFFD">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3FC2AF5C">
      <w:pPr>
        <w:adjustRightInd w:val="0"/>
        <w:snapToGrid w:val="0"/>
        <w:spacing w:line="560" w:lineRule="exact"/>
        <w:ind w:firstLine="640" w:firstLineChars="200"/>
        <w:rPr>
          <w:rFonts w:hint="eastAsia" w:ascii="黑体" w:hAnsi="黑体" w:eastAsia="黑体"/>
          <w:bCs/>
          <w:sz w:val="32"/>
          <w:szCs w:val="32"/>
        </w:rPr>
      </w:pPr>
      <w:r>
        <w:rPr>
          <w:rFonts w:hint="eastAsia" w:ascii="黑体" w:hAnsi="黑体" w:eastAsia="黑体"/>
          <w:bCs/>
          <w:sz w:val="32"/>
          <w:szCs w:val="32"/>
        </w:rPr>
        <w:t>一、安全责任</w:t>
      </w:r>
    </w:p>
    <w:p w14:paraId="6505639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房屋承租方是所租赁房屋的安全全权责任人，负责该房屋及附属设施的安全责任。</w:t>
      </w:r>
    </w:p>
    <w:p w14:paraId="49040169">
      <w:pPr>
        <w:adjustRightInd w:val="0"/>
        <w:snapToGrid w:val="0"/>
        <w:spacing w:line="560" w:lineRule="exact"/>
        <w:ind w:firstLine="640" w:firstLineChars="200"/>
        <w:rPr>
          <w:rFonts w:hint="eastAsia" w:ascii="黑体" w:hAnsi="黑体" w:eastAsia="黑体"/>
          <w:bCs/>
          <w:sz w:val="32"/>
          <w:szCs w:val="32"/>
        </w:rPr>
      </w:pPr>
      <w:r>
        <w:rPr>
          <w:rFonts w:hint="eastAsia" w:ascii="黑体" w:hAnsi="黑体" w:eastAsia="黑体"/>
          <w:bCs/>
          <w:sz w:val="32"/>
          <w:szCs w:val="32"/>
        </w:rPr>
        <w:t>二、安全责任内容</w:t>
      </w:r>
    </w:p>
    <w:p w14:paraId="5CCA17E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进行违法活动，不得出售假冒伪劣过期商品，不经营烟花、爆竹等易燃易爆物品，不从事赌博等违法活动，严防火灾、爆炸、中毒、盗窃等事故和事件。租赁者必须服从上级执法部门统一管理，配合上级执法部门做好一切迎检活动。</w:t>
      </w:r>
    </w:p>
    <w:p w14:paraId="4048D19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6892CC6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07724A5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1AF28D7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721F016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（六）定期向出租方报告安全情况。凡未全面遵守《出租资产安全协议》规定的安全责任内容或对检查中发现的安全隐患不及时整改的承租者，应当承担违约责任，具体标准如下：</w:t>
      </w:r>
    </w:p>
    <w:p w14:paraId="098BDA4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1.发生一般事故两起及以下的，支付违约金十万元；两起以上每增加一起另支付十万元。</w:t>
      </w:r>
    </w:p>
    <w:p w14:paraId="1498CEA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2.发生较大事故一起的，支付违约金三十万元；每增加一起另支付三十万元。</w:t>
      </w:r>
    </w:p>
    <w:p w14:paraId="5F5D5B6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3.发生重大事故一起的，支付违约金七十万元；每增加一起另支付七十万元。</w:t>
      </w:r>
    </w:p>
    <w:p w14:paraId="5AE87B3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4.发生特别重大事故一起的，支付违约金一百五十万元。每增加一起另支付一百五十万元。</w:t>
      </w:r>
    </w:p>
    <w:p w14:paraId="5094133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且任意一项安全生产目标被突破甲方均有权解除租赁合同（合同编号： ），并由乙方根据租赁合同的约定承担合同解除的对应责任。</w:t>
      </w:r>
    </w:p>
    <w:p w14:paraId="6EF45D3D">
      <w:pPr>
        <w:adjustRightInd w:val="0"/>
        <w:snapToGrid w:val="0"/>
        <w:spacing w:line="560" w:lineRule="exact"/>
        <w:ind w:firstLine="640" w:firstLineChars="200"/>
        <w:rPr>
          <w:rFonts w:hint="eastAsia" w:ascii="黑体" w:hAnsi="黑体" w:eastAsia="黑体"/>
          <w:bCs/>
          <w:sz w:val="32"/>
          <w:szCs w:val="32"/>
        </w:rPr>
      </w:pPr>
      <w:r>
        <w:rPr>
          <w:rFonts w:hint="eastAsia" w:ascii="黑体" w:hAnsi="黑体" w:eastAsia="黑体"/>
          <w:bCs/>
          <w:sz w:val="32"/>
          <w:szCs w:val="32"/>
        </w:rPr>
        <w:t>三、其他</w:t>
      </w:r>
    </w:p>
    <w:p w14:paraId="6A3F1F1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1.《出租资产安全协议》与《房屋租赁合同》具有同等效力，《出租资产安全协议》一式肆份，出租方、承租方各贰份。</w:t>
      </w:r>
    </w:p>
    <w:p w14:paraId="4929450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2.本协议自双方签章，若承租方系法人单位的，还需双方法定代表人或授权代表签字之日起生效。</w:t>
      </w:r>
    </w:p>
    <w:p w14:paraId="5A27C86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3.若因履行本合同产生纠纷的，双方应先协商解决，协商不成的，任意一方均有权向宁波市镇海区人民法院提起诉讼解决。</w:t>
      </w:r>
    </w:p>
    <w:p w14:paraId="14A4DDCC">
      <w:pPr>
        <w:pStyle w:val="11"/>
        <w:ind w:firstLine="660"/>
        <w:rPr>
          <w:rFonts w:hint="eastAsia"/>
        </w:rPr>
      </w:pPr>
      <w:r>
        <w:rPr>
          <w:rFonts w:hint="eastAsia" w:hAnsi="仿宋"/>
        </w:rPr>
        <w:t>4.</w:t>
      </w:r>
      <w:r>
        <w:rPr>
          <w:rFonts w:hint="eastAsia"/>
        </w:rPr>
        <w:t>甲、乙双方因履行本合同而发出或者提供的所有文件、材料、短信、电子邮件，均以本合同尾部所列明的地址或法定地址、邮箱进行送达，双方也可以约定其他送达方式。若任意一方提供的送达信息发生变更时应当及时书面通知对方，否则，凡发送至上述电子邮箱的邮件、邮寄地址的文件，即便被拒收或退件仍视为有效送达。合同尾部所列明的地址以及联系方式可作为诉讼送达地址信息使用。</w:t>
      </w:r>
    </w:p>
    <w:p w14:paraId="2CF7D9F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p w14:paraId="271272E1">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出租方（盖章）：             承租方（盖章）：     </w:t>
      </w:r>
    </w:p>
    <w:p w14:paraId="7BF1B27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法定代表人/授权代表：        法定代表人/授权代表：</w:t>
      </w:r>
    </w:p>
    <w:p w14:paraId="6DA5901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                       地址：</w:t>
      </w:r>
    </w:p>
    <w:p w14:paraId="7CE6E62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电话：                       电话：</w:t>
      </w:r>
    </w:p>
    <w:p w14:paraId="049222ED">
      <w:pPr>
        <w:adjustRightInd w:val="0"/>
        <w:snapToGrid w:val="0"/>
        <w:spacing w:line="560" w:lineRule="exact"/>
        <w:rPr>
          <w:rFonts w:hint="eastAsia" w:ascii="宋体" w:hAnsi="宋体"/>
          <w:sz w:val="28"/>
          <w:szCs w:val="28"/>
        </w:rPr>
      </w:pPr>
      <w:r>
        <w:rPr>
          <w:rFonts w:hint="eastAsia" w:ascii="仿宋_GB2312" w:hAnsi="仿宋" w:eastAsia="仿宋_GB2312"/>
          <w:sz w:val="32"/>
          <w:szCs w:val="32"/>
        </w:rPr>
        <w:t xml:space="preserve">   年    月    日                  年    月    日</w:t>
      </w:r>
    </w:p>
    <w:p w14:paraId="7F3F9808">
      <w:pPr>
        <w:rPr>
          <w:rFonts w:hint="eastAsia" w:eastAsia="Times New Roman"/>
          <w:lang w:val="en-US" w:eastAsia="zh-CN"/>
        </w:rPr>
      </w:pPr>
      <w:r>
        <w:rPr>
          <w:rFonts w:eastAsia="Times New Roman"/>
          <w:sz w:val="28"/>
          <w:szCs w:val="28"/>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592F6D"/>
    <w:multiLevelType w:val="multilevel"/>
    <w:tmpl w:val="7C592F6D"/>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7C717F"/>
    <w:rsid w:val="00887778"/>
    <w:rsid w:val="008B73C2"/>
    <w:rsid w:val="01BA61B0"/>
    <w:rsid w:val="01E90844"/>
    <w:rsid w:val="02C95F7F"/>
    <w:rsid w:val="03B86720"/>
    <w:rsid w:val="04CC48A5"/>
    <w:rsid w:val="04E8159A"/>
    <w:rsid w:val="060C1C08"/>
    <w:rsid w:val="061B3061"/>
    <w:rsid w:val="07583701"/>
    <w:rsid w:val="07724E37"/>
    <w:rsid w:val="078C6EA6"/>
    <w:rsid w:val="08FA3336"/>
    <w:rsid w:val="09B72DF3"/>
    <w:rsid w:val="0A8D3D36"/>
    <w:rsid w:val="0ADA341F"/>
    <w:rsid w:val="0B073AE9"/>
    <w:rsid w:val="0C654F6B"/>
    <w:rsid w:val="0CD12600"/>
    <w:rsid w:val="0F3B1FB3"/>
    <w:rsid w:val="0F4672D5"/>
    <w:rsid w:val="100F3B6B"/>
    <w:rsid w:val="1030763E"/>
    <w:rsid w:val="11AB1672"/>
    <w:rsid w:val="12A165D1"/>
    <w:rsid w:val="12CA1FCB"/>
    <w:rsid w:val="13E40E6B"/>
    <w:rsid w:val="1441006B"/>
    <w:rsid w:val="14D26F15"/>
    <w:rsid w:val="15565D98"/>
    <w:rsid w:val="15EC3809"/>
    <w:rsid w:val="1673687F"/>
    <w:rsid w:val="180715CC"/>
    <w:rsid w:val="19616ABA"/>
    <w:rsid w:val="1AD339E7"/>
    <w:rsid w:val="1E1B192D"/>
    <w:rsid w:val="20234E4B"/>
    <w:rsid w:val="21E07116"/>
    <w:rsid w:val="228A7081"/>
    <w:rsid w:val="22D95913"/>
    <w:rsid w:val="22E569AE"/>
    <w:rsid w:val="249B37C8"/>
    <w:rsid w:val="266A3452"/>
    <w:rsid w:val="26F947D6"/>
    <w:rsid w:val="276E51C4"/>
    <w:rsid w:val="2C576226"/>
    <w:rsid w:val="2D6D031A"/>
    <w:rsid w:val="2D79628F"/>
    <w:rsid w:val="2DC25921"/>
    <w:rsid w:val="2E183793"/>
    <w:rsid w:val="2E67296D"/>
    <w:rsid w:val="2E95747E"/>
    <w:rsid w:val="2F4E2C71"/>
    <w:rsid w:val="31225FFB"/>
    <w:rsid w:val="315B0026"/>
    <w:rsid w:val="324C7EAF"/>
    <w:rsid w:val="32911D66"/>
    <w:rsid w:val="332D7CE1"/>
    <w:rsid w:val="33D75E9F"/>
    <w:rsid w:val="36BB5604"/>
    <w:rsid w:val="37623CD1"/>
    <w:rsid w:val="37C329C2"/>
    <w:rsid w:val="381B27FE"/>
    <w:rsid w:val="38224F27"/>
    <w:rsid w:val="3962445C"/>
    <w:rsid w:val="3A667F7C"/>
    <w:rsid w:val="3AB111F7"/>
    <w:rsid w:val="3BC27434"/>
    <w:rsid w:val="3BF515B8"/>
    <w:rsid w:val="3D200B34"/>
    <w:rsid w:val="3E7A2248"/>
    <w:rsid w:val="3EF45B57"/>
    <w:rsid w:val="401D2E8B"/>
    <w:rsid w:val="40C86F6B"/>
    <w:rsid w:val="40FA4CB6"/>
    <w:rsid w:val="41D34149"/>
    <w:rsid w:val="41DF4BEC"/>
    <w:rsid w:val="421D7172"/>
    <w:rsid w:val="42417305"/>
    <w:rsid w:val="430976F7"/>
    <w:rsid w:val="490E3CB9"/>
    <w:rsid w:val="49691FE0"/>
    <w:rsid w:val="4B533C05"/>
    <w:rsid w:val="4B751DCD"/>
    <w:rsid w:val="4C856040"/>
    <w:rsid w:val="4DEA4CF4"/>
    <w:rsid w:val="4E2E7264"/>
    <w:rsid w:val="4ECA2430"/>
    <w:rsid w:val="4EFF199E"/>
    <w:rsid w:val="4FA53783"/>
    <w:rsid w:val="506444A8"/>
    <w:rsid w:val="517F670C"/>
    <w:rsid w:val="51F223CA"/>
    <w:rsid w:val="54A2107A"/>
    <w:rsid w:val="54A43723"/>
    <w:rsid w:val="54E56216"/>
    <w:rsid w:val="5621327D"/>
    <w:rsid w:val="56A17F1A"/>
    <w:rsid w:val="579730CB"/>
    <w:rsid w:val="57AC6B77"/>
    <w:rsid w:val="58122797"/>
    <w:rsid w:val="583A0626"/>
    <w:rsid w:val="59545718"/>
    <w:rsid w:val="59872F4E"/>
    <w:rsid w:val="5CD526CC"/>
    <w:rsid w:val="5D9C63C9"/>
    <w:rsid w:val="5E425E33"/>
    <w:rsid w:val="5F772160"/>
    <w:rsid w:val="5FD255E8"/>
    <w:rsid w:val="60AE1BB1"/>
    <w:rsid w:val="610E6FE2"/>
    <w:rsid w:val="633839B4"/>
    <w:rsid w:val="63A32D5E"/>
    <w:rsid w:val="63EF2A1A"/>
    <w:rsid w:val="640146EE"/>
    <w:rsid w:val="64591E34"/>
    <w:rsid w:val="6570237E"/>
    <w:rsid w:val="68321A51"/>
    <w:rsid w:val="6C4E3080"/>
    <w:rsid w:val="6DCE2AFF"/>
    <w:rsid w:val="6F7E4E45"/>
    <w:rsid w:val="6FEF189F"/>
    <w:rsid w:val="711E068D"/>
    <w:rsid w:val="71973F9C"/>
    <w:rsid w:val="727D5888"/>
    <w:rsid w:val="729F135A"/>
    <w:rsid w:val="72FD2525"/>
    <w:rsid w:val="73467A28"/>
    <w:rsid w:val="735A7977"/>
    <w:rsid w:val="736B3932"/>
    <w:rsid w:val="74B11819"/>
    <w:rsid w:val="74C72DEA"/>
    <w:rsid w:val="75715111"/>
    <w:rsid w:val="76F459ED"/>
    <w:rsid w:val="77532CBA"/>
    <w:rsid w:val="79404F19"/>
    <w:rsid w:val="79F91C98"/>
    <w:rsid w:val="7A276F33"/>
    <w:rsid w:val="7ACD0A2E"/>
    <w:rsid w:val="7D252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5">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8">
    <w:name w:val="List Paragraph"/>
    <w:basedOn w:val="1"/>
    <w:autoRedefine/>
    <w:qFormat/>
    <w:uiPriority w:val="0"/>
    <w:pPr>
      <w:ind w:firstLine="420" w:firstLineChars="200"/>
    </w:pPr>
    <w:rPr>
      <w:rFonts w:ascii="Calibri" w:hAnsi="Calibri"/>
      <w:szCs w:val="22"/>
    </w:rPr>
  </w:style>
  <w:style w:type="paragraph" w:customStyle="1" w:styleId="9">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0">
    <w:name w:val="p0"/>
    <w:basedOn w:val="1"/>
    <w:autoRedefine/>
    <w:unhideWhenUsed/>
    <w:qFormat/>
    <w:uiPriority w:val="99"/>
    <w:pPr>
      <w:widowControl/>
    </w:pPr>
    <w:rPr>
      <w:rFonts w:hint="eastAsia"/>
    </w:rPr>
  </w:style>
  <w:style w:type="paragraph" w:customStyle="1" w:styleId="11">
    <w:name w:val="content"/>
    <w:basedOn w:val="1"/>
    <w:qFormat/>
    <w:uiPriority w:val="0"/>
    <w:pPr>
      <w:widowControl/>
      <w:spacing w:line="300" w:lineRule="auto"/>
      <w:jc w:val="both"/>
    </w:pPr>
    <w:rPr>
      <w:rFonts w:ascii="仿宋_GB2312" w:hAnsi="宋体" w:eastAsia="仿宋_GB2312" w:cs="宋体"/>
      <w:color w:val="auto"/>
      <w:sz w:val="32"/>
      <w:szCs w:val="32"/>
    </w:rPr>
  </w:style>
  <w:style w:type="character" w:customStyle="1" w:styleId="12">
    <w:name w:val="font21"/>
    <w:basedOn w:val="7"/>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6288</Words>
  <Characters>6769</Characters>
  <Lines>0</Lines>
  <Paragraphs>0</Paragraphs>
  <TotalTime>0</TotalTime>
  <ScaleCrop>false</ScaleCrop>
  <LinksUpToDate>false</LinksUpToDate>
  <CharactersWithSpaces>7214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2025-08-21T07:59:21Z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